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C4F4">
      <w:pPr>
        <w:pStyle w:val="4"/>
        <w:shd w:val="clear" w:color="auto" w:fill="FFFFFF"/>
        <w:spacing w:before="0" w:beforeAutospacing="0" w:after="0" w:afterAutospacing="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30677693">
      <w:pPr>
        <w:pStyle w:val="4"/>
        <w:shd w:val="clear" w:color="auto" w:fill="FFFFFF"/>
        <w:spacing w:before="0" w:beforeAutospacing="0" w:after="0" w:afterAutospacing="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5E15BFE2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cs="Arial" w:asciiTheme="minorEastAsia" w:hAnsiTheme="minorEastAsia" w:eastAsiaTheme="minorEastAsia"/>
          <w:color w:val="333333"/>
          <w:sz w:val="96"/>
          <w:szCs w:val="96"/>
        </w:rPr>
      </w:pPr>
    </w:p>
    <w:p w14:paraId="7A35D09F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cs="Arial" w:asciiTheme="minorEastAsia" w:hAnsiTheme="minorEastAsia" w:eastAsiaTheme="minorEastAsia"/>
          <w:color w:val="333333"/>
          <w:sz w:val="220"/>
          <w:szCs w:val="220"/>
        </w:rPr>
      </w:pPr>
      <w:r>
        <w:rPr>
          <w:rFonts w:hint="eastAsia" w:cs="Arial" w:asciiTheme="minorEastAsia" w:hAnsiTheme="minorEastAsia" w:eastAsiaTheme="minorEastAsia"/>
          <w:color w:val="333333"/>
          <w:sz w:val="220"/>
          <w:szCs w:val="220"/>
        </w:rPr>
        <w:t>招</w:t>
      </w:r>
    </w:p>
    <w:p w14:paraId="6E70C0B3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cs="Arial" w:asciiTheme="minorEastAsia" w:hAnsiTheme="minorEastAsia" w:eastAsiaTheme="minorEastAsia"/>
          <w:color w:val="333333"/>
          <w:sz w:val="220"/>
          <w:szCs w:val="220"/>
        </w:rPr>
      </w:pPr>
      <w:r>
        <w:rPr>
          <w:rFonts w:hint="eastAsia" w:cs="Arial" w:asciiTheme="minorEastAsia" w:hAnsiTheme="minorEastAsia" w:eastAsiaTheme="minorEastAsia"/>
          <w:color w:val="333333"/>
          <w:sz w:val="220"/>
          <w:szCs w:val="220"/>
        </w:rPr>
        <w:t>标</w:t>
      </w:r>
    </w:p>
    <w:p w14:paraId="5D257838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cs="Arial" w:asciiTheme="minorEastAsia" w:hAnsiTheme="minorEastAsia" w:eastAsiaTheme="minorEastAsia"/>
          <w:color w:val="333333"/>
          <w:sz w:val="220"/>
          <w:szCs w:val="220"/>
        </w:rPr>
      </w:pPr>
      <w:r>
        <w:rPr>
          <w:rFonts w:hint="eastAsia" w:cs="Arial" w:asciiTheme="minorEastAsia" w:hAnsiTheme="minorEastAsia" w:eastAsiaTheme="minorEastAsia"/>
          <w:color w:val="333333"/>
          <w:sz w:val="220"/>
          <w:szCs w:val="220"/>
        </w:rPr>
        <w:t>书</w:t>
      </w:r>
    </w:p>
    <w:p w14:paraId="087185D8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50A655F9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00A1C449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48C024CB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19B7AE2D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512F1105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邀标文件编号：LIMA -ZJ-2026(ZB004)</w:t>
      </w:r>
    </w:p>
    <w:p w14:paraId="0B85D2D0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邀标单位：立马车业集团有限公司</w:t>
      </w:r>
    </w:p>
    <w:p w14:paraId="3B576860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地 址：浙江省台州市椒江区滨海工业区甲南大道立马车业集团</w:t>
      </w:r>
    </w:p>
    <w:p w14:paraId="75F7F739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发布日期：2026 年 03 月 18 日</w:t>
      </w:r>
    </w:p>
    <w:p w14:paraId="7E4ACA1F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投标截止时间：2026 年 03 月 30 日 17:00</w:t>
      </w:r>
    </w:p>
    <w:p w14:paraId="7DC8A329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唱标 / 开标时间：2026 年 03 月 31 日 13:00</w:t>
      </w:r>
    </w:p>
    <w:p w14:paraId="7AF8E2BD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联系人：胡玲露 联系电话：17857271501 邮箱：ppglhll@shanghailima.com</w:t>
      </w:r>
    </w:p>
    <w:p w14:paraId="1415F3E4">
      <w:pPr>
        <w:pStyle w:val="4"/>
        <w:shd w:val="clear" w:color="auto" w:fill="FFFFFF"/>
        <w:spacing w:before="0" w:beforeAutospacing="0" w:after="0" w:afterAutospacing="0"/>
        <w:rPr>
          <w:rFonts w:hint="eastAsia" w:ascii="Microsoft YaHei Regular" w:hAnsi="Microsoft YaHei Regular" w:eastAsia="Microsoft YaHei Regular" w:cs="Microsoft YaHei Regular"/>
          <w:color w:val="333333"/>
          <w:sz w:val="27"/>
          <w:szCs w:val="27"/>
        </w:rPr>
      </w:pPr>
    </w:p>
    <w:p w14:paraId="46CA1257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32"/>
          <w:szCs w:val="32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32"/>
          <w:szCs w:val="32"/>
        </w:rPr>
        <w:t>邀标邀请书</w:t>
      </w:r>
    </w:p>
    <w:p w14:paraId="0A290CAB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立马车业集团有限公司是专业从事新能源交通工具产品研发、生产制造、应用推广于一体的大型集团化高新技术企业。公司成立于 2003 年，是国内乃至世界最大的电动车整车生产制造商之一，是中国电动摩托车和电动车动力领域领导者，是中国电动车行业最具影响力的品牌之一。</w:t>
      </w:r>
    </w:p>
    <w:p w14:paraId="40BE154B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现针对三款新品（极限 / 自在 / X7）五场快闪地推 + 销售转化全案设计执行项目进行定向邀请招标，本项目为公司 2026 年新品上市核心推广项目，旨在通过核心城市快闪体验 + 线上线下联动传播，实现新品品牌曝光与终端销售转化的双重目标。现邀请具有大型活动策划执行、两轮交通工具行业推广经验的合格单位参加投标，有关事项如下：</w:t>
      </w:r>
    </w:p>
    <w:p w14:paraId="07CE28B1">
      <w:pPr>
        <w:numPr>
          <w:ilvl w:val="0"/>
          <w:numId w:val="2"/>
        </w:num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邀标项目名称：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三款新品（极限 / 自在 / X7）五场快闪地推 + 销售转化全案设计执行</w:t>
      </w:r>
    </w:p>
    <w:p w14:paraId="6E0D9AE5">
      <w:pPr>
        <w:numPr>
          <w:ilvl w:val="0"/>
          <w:numId w:val="2"/>
        </w:num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项目活动周期：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2026 年 04 月 15 日 - 05 月 31 日（具体单场执行时间由双方协商确定）</w:t>
      </w:r>
    </w:p>
    <w:p w14:paraId="3638AF3F">
      <w:pPr>
        <w:numPr>
          <w:ilvl w:val="0"/>
          <w:numId w:val="2"/>
        </w:num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项目活动地点：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全国核心城市商圈广场（城市由邀标方提供，投标方负责确认具体场地，场地规划与落地执行）</w:t>
      </w:r>
    </w:p>
    <w:p w14:paraId="3F548E1A">
      <w:pPr>
        <w:numPr>
          <w:ilvl w:val="0"/>
          <w:numId w:val="2"/>
        </w:num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项目总预算：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人民币 100 万元（含税，包含线下落地陈列、视觉设计、线上直播带货、达人推广、执行运营等所有费用，无额外增补预算）</w:t>
      </w:r>
    </w:p>
    <w:p w14:paraId="7C4F4895">
      <w:pPr>
        <w:numPr>
          <w:ilvl w:val="0"/>
          <w:numId w:val="2"/>
        </w:numPr>
        <w:ind w:leftChars="100" w:firstLine="420" w:firstLineChars="2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邀标文件获取方式</w:t>
      </w:r>
    </w:p>
    <w:p w14:paraId="0733C987">
      <w:pPr>
        <w:numPr>
          <w:numId w:val="0"/>
        </w:numPr>
        <w:ind w:leftChars="3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5.1线下：浙江省台州市椒江区滨海工业区甲南大道立马车业集团品牌部</w:t>
      </w:r>
    </w:p>
    <w:p w14:paraId="6A39F35F">
      <w:pPr>
        <w:numPr>
          <w:numId w:val="0"/>
        </w:numPr>
        <w:ind w:leftChars="3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5.2线上：联系邀标方联系人获取电子版邀标文件</w:t>
      </w:r>
    </w:p>
    <w:p w14:paraId="7E0CE350">
      <w:pPr>
        <w:numPr>
          <w:ilvl w:val="0"/>
          <w:numId w:val="2"/>
        </w:numPr>
        <w:ind w:left="210" w:leftChars="100" w:firstLine="420" w:firstLineChars="2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时间节点：</w:t>
      </w:r>
    </w:p>
    <w:p w14:paraId="712DE7BC">
      <w:pPr>
        <w:numPr>
          <w:numId w:val="0"/>
        </w:numPr>
        <w:ind w:leftChars="3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6.1投标人参加邀标确认：2026 年 03 月 20 日 13:00 前通过邮件 + 书面回函双重确认（回函模板见附件 1）</w:t>
      </w:r>
    </w:p>
    <w:p w14:paraId="386BE777">
      <w:pPr>
        <w:numPr>
          <w:numId w:val="0"/>
        </w:numPr>
        <w:ind w:leftChars="3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6.2答疑时间与方式：2026 年 03 月 21 日 9:00-17:00，线上视频会议</w:t>
      </w:r>
    </w:p>
    <w:p w14:paraId="5986BCBE">
      <w:pPr>
        <w:numPr>
          <w:numId w:val="0"/>
        </w:numPr>
        <w:ind w:leftChars="3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6.3投标文件递交截止时间：2026 年 03 月 30 日 17:00 前（逾期递交、邮寄未达均视为无效投标）</w:t>
      </w:r>
    </w:p>
    <w:p w14:paraId="6ACE5FF9">
      <w:pPr>
        <w:numPr>
          <w:numId w:val="0"/>
        </w:numPr>
        <w:ind w:leftChars="3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6.4唱标 / 开标时间：2026 年 03 月 31 日 13:00 开始</w:t>
      </w:r>
    </w:p>
    <w:p w14:paraId="3AA15621">
      <w:pPr>
        <w:numPr>
          <w:numId w:val="0"/>
        </w:numPr>
        <w:ind w:leftChars="3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6.5投标 / 开标地点：立马车业集团视频会议室（线上），纸质投标文件可邮寄至邀标单位地址</w:t>
      </w:r>
    </w:p>
    <w:p w14:paraId="4697B837">
      <w:pPr>
        <w:numPr>
          <w:ilvl w:val="0"/>
          <w:numId w:val="2"/>
        </w:numPr>
        <w:ind w:left="210"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投标文件递交要求：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电子版（U 盘 / 光盘）。</w:t>
      </w:r>
    </w:p>
    <w:p w14:paraId="69157906">
      <w:pPr>
        <w:rPr>
          <w:lang w:val="en-US" w:eastAsia="zh-CN"/>
        </w:rPr>
      </w:pPr>
    </w:p>
    <w:p w14:paraId="019AD703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项目背景与核心目的</w:t>
      </w:r>
    </w:p>
    <w:p w14:paraId="4ADB21F4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2.1 项目背景</w:t>
      </w:r>
    </w:p>
    <w:p w14:paraId="4BF17AA3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本次推广的极限、X7、自在为立马 2026 年三大核心新品系列，分别对应越野性能、科技操控、颜值赋能三大电动车核心消费场景，是公司布局多元化消费市场、巩固行业领先地位的关键产品。为快速打响新品市场知名度，打通 “沉浸式体验 - 线上种草 - 终端转化” 的全链路消费路径，特启动本次五城快闪地推 + 销售转化全案项目，通过线下核心商圈体验引流 + 线上全域传播造势，实现新品从品牌曝光到终端实际销售的落地转化，同时为品牌及产品实现资产留存。</w:t>
      </w:r>
    </w:p>
    <w:p w14:paraId="6CE89280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2.2 核心项目目的</w:t>
      </w:r>
    </w:p>
    <w:p w14:paraId="607DC124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2.2.1 品牌曝光：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通过五城核心商圈快闪 + 线上直播 / 达人推广，实现三款新品全网有效曝光，强化立马 “电动车动力领域领导者” 的品牌心智，打造三款新品差异化的产品标签，提升品牌年轻化、多元化形象；</w:t>
      </w:r>
    </w:p>
    <w:p w14:paraId="793985B0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2.2.2 销售转化：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通过线下快闪试驾体验、现场定购专属优惠、线上直播带货闭环，实现新品线下用户留资、现场定金锁客、线上成交的多重转化，为新品上市奠定核心销量基础；</w:t>
      </w:r>
    </w:p>
    <w:p w14:paraId="78D16793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2.2.3 渠道赋能：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通过全国性快闪推广活动，提振立马全国终端渠道的销售信心，为线下门店引流精准购车意向用户，助力渠道新品销售；</w:t>
      </w:r>
    </w:p>
    <w:p w14:paraId="5FCFA76D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2.2.4 用户沉淀：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通过线下快闪互动、线上直播 / 达人互动，沉淀三款新品的核心目标用户信息，为后续用户运营、复购转化提供支撑。</w:t>
      </w:r>
    </w:p>
    <w:p w14:paraId="7A4EE72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2.2.5 资产留存：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通过单场活动，批量产生传播素材，供品牌传播使用。</w:t>
      </w:r>
    </w:p>
    <w:p w14:paraId="4BA90DCD">
      <w:pPr>
        <w:pStyle w:val="4"/>
        <w:shd w:val="clear" w:color="auto" w:fill="FFFFFF"/>
        <w:spacing w:before="0" w:beforeAutospacing="0" w:after="0" w:afterAutospacing="0"/>
        <w:ind w:left="48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5DDB4CF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三款新品核心信息</w:t>
      </w:r>
    </w:p>
    <w:p w14:paraId="2E087474">
      <w:pPr>
        <w:pStyle w:val="4"/>
        <w:shd w:val="clear" w:color="auto" w:fill="FFFFFF"/>
        <w:spacing w:before="0" w:beforeAutospacing="0" w:after="0" w:afterAutospacing="0"/>
        <w:ind w:leftChars="100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产品：</w:t>
      </w:r>
    </w:p>
    <w:p w14:paraId="5B2115D4">
      <w:pPr>
        <w:pStyle w:val="4"/>
        <w:shd w:val="clear" w:color="auto" w:fill="FFFFFF"/>
        <w:spacing w:before="0" w:beforeAutospacing="0" w:after="0" w:afterAutospacing="0"/>
        <w:ind w:left="210" w:leftChars="100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drawing>
          <wp:inline distT="0" distB="0" distL="114300" distR="114300">
            <wp:extent cx="5788660" cy="971550"/>
            <wp:effectExtent l="0" t="0" r="2540" b="1905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07DC4">
      <w:pPr>
        <w:pStyle w:val="4"/>
        <w:shd w:val="clear" w:color="auto" w:fill="FFFFFF"/>
        <w:spacing w:before="0" w:beforeAutospacing="0" w:after="0" w:afterAutospacing="0"/>
        <w:ind w:leftChars="100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设计方向：登峰造极，越野风格，弯道加速。</w:t>
      </w:r>
    </w:p>
    <w:p w14:paraId="10CC86EB">
      <w:pPr>
        <w:pStyle w:val="4"/>
        <w:shd w:val="clear" w:color="auto" w:fill="FFFFFF"/>
        <w:spacing w:before="0" w:beforeAutospacing="0" w:after="0" w:afterAutospacing="0"/>
        <w:ind w:left="210" w:leftChars="100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drawing>
          <wp:inline distT="0" distB="0" distL="114300" distR="114300">
            <wp:extent cx="6353175" cy="1371600"/>
            <wp:effectExtent l="0" t="0" r="2222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1BF94">
      <w:pPr>
        <w:pStyle w:val="4"/>
        <w:shd w:val="clear" w:color="auto" w:fill="FFFFFF"/>
        <w:spacing w:before="0" w:beforeAutospacing="0" w:after="0" w:afterAutospacing="0"/>
        <w:ind w:leftChars="100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设计方向：原力觉醒，X元素拓展，未来感。</w:t>
      </w:r>
    </w:p>
    <w:p w14:paraId="3465EDBD">
      <w:pPr>
        <w:pStyle w:val="4"/>
        <w:shd w:val="clear" w:color="auto" w:fill="FFFFFF"/>
        <w:spacing w:before="0" w:beforeAutospacing="0" w:after="0" w:afterAutospacing="0"/>
        <w:ind w:left="210" w:leftChars="100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</w:rPr>
        <w:drawing>
          <wp:inline distT="0" distB="0" distL="114300" distR="114300">
            <wp:extent cx="5892800" cy="1181735"/>
            <wp:effectExtent l="0" t="0" r="0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B23F">
      <w:pPr>
        <w:pStyle w:val="4"/>
        <w:shd w:val="clear" w:color="auto" w:fill="FFFFFF"/>
        <w:spacing w:before="0" w:beforeAutospacing="0" w:after="0" w:afterAutospacing="0"/>
        <w:ind w:leftChars="100"/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设计方向：自在专区，亲子场景，生活仪式感。</w:t>
      </w:r>
    </w:p>
    <w:p w14:paraId="6FE8B9A9">
      <w:pPr>
        <w:pStyle w:val="4"/>
        <w:shd w:val="clear" w:color="auto" w:fill="FFFFFF"/>
        <w:spacing w:before="0" w:beforeAutospacing="0" w:after="0" w:afterAutospacing="0"/>
        <w:ind w:left="48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DF12D5F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项目核心需求细则</w:t>
      </w:r>
    </w:p>
    <w:p w14:paraId="57AD2A58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4.1 线下快闪执行需求（5 场，全国核心城市商圈）</w:t>
      </w:r>
    </w:p>
    <w:p w14:paraId="11A621CA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4.1.1 场地规划：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结合邀标方提供的场地实际尺寸，为三款新品设计专属主题体验展区，展区设计需严格匹配各产品设计方向与核心定位，实现 “一产品一主题专区”；同时合理规划试驾区、互动体验区、销售转化区、用户休憩区，功能分区清晰，动线设计符合用户体验逻辑，试驾区需设置安全防护设施。</w:t>
      </w:r>
    </w:p>
    <w:p w14:paraId="71E4776B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4.1.2 沉浸式体验：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每场均需设计贴合产品定位的互动体验环节（如极限的弯道试驾体验、X7 的科技互动体验、自在的颜值体验），配备专业的试驾指导专员，确保用户体验的安全性与趣味性；体验环节需与产品卖点深度结合，让用户直观感受产品核心优势。</w:t>
      </w:r>
    </w:p>
    <w:p w14:paraId="6D62E35A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4.1.3 现场销售转化：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结合邀标方需求，设计线下专属定购优惠方案（如定金立减、以旧换新、赠品福利等），配合销售顾问，实现用户现场留资、扫码下单、定金锁客的全流程转化；配套制作地推物料（宣传单页、优惠券、产品手册、展架等），物料设计需与品牌视觉统一。</w:t>
      </w:r>
    </w:p>
    <w:p w14:paraId="4C29E74B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4.1.4 执行保障：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全权负责快闪现场的搭建、拆场、日常运营、安保、保洁工作，制定完善的现场安全预案、突发事件应急方案；负责完成场地报批、消防验收等所有相关合规手续，确保活动合法合规落地，无安全事故。</w:t>
      </w:r>
    </w:p>
    <w:p w14:paraId="21761443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4.1.5 人员配置：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单场快闪需配备专业的项目策划、场地搭建、现场安保、摄影摄像人员，人员分工明确（试驾指导、销售顾问由邀标方提供），所有工作人员需具备相关行业服务经验，上岗前需进行品牌与产品知识培训。</w:t>
      </w:r>
    </w:p>
    <w:p w14:paraId="0EE38ABC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4.2 物料设计需求</w:t>
      </w:r>
    </w:p>
    <w:p w14:paraId="6D1CDD1F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4.2.1 设计核心要求：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严格匹配三款新品的设计方向、核心定位与品牌视觉规范，打造差异化、高辨识度的快闪活动视觉体系，所有设计成果需具备可落地性、品牌统一性、场景适配性。</w:t>
      </w:r>
    </w:p>
    <w:p w14:paraId="443F9CA6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4.2.2 核心设计交付物：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投标方需提供全套设计稿源文件，并配合邀标方进行设计修改，直至定稿，具体交付物包括：</w:t>
      </w:r>
    </w:p>
    <w:p w14:paraId="591DC843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品牌端：整场活动主题主视觉（KV）、系列宣传海报、活动主形象设计；</w:t>
      </w:r>
    </w:p>
    <w:p w14:paraId="416B0A23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现场端：快闪场地平面布局图、展具 / 互动装置3D效果图；</w:t>
      </w:r>
    </w:p>
    <w:p w14:paraId="67CCFE4A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物料端：地推物料（宣传单页、优惠券、台卡）、产品展示物料（展架、价格牌）、现场互动道具设计等；</w:t>
      </w:r>
    </w:p>
    <w:p w14:paraId="28394750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传播端：线上发布物料，包括但不限于预热视频、倒计时海报、快剪视频、总结战报长图等。</w:t>
      </w:r>
    </w:p>
    <w:p w14:paraId="34AD9D02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4.2.3 设计交付时间：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中标后 14 个工作日内提交初步设计方案，邀标方确认后 3 个工作日内提交全套设计定稿与源文件。</w:t>
      </w:r>
    </w:p>
    <w:p w14:paraId="3A1C99DC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4.3 线上直播需求</w:t>
      </w:r>
    </w:p>
    <w:p w14:paraId="3469A596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4.3.1 直播规划：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根据品牌直播需求，提供5 场快闪活动同步专场直播推流方案，直播平台以抖音、快手为主，单场直播时长不低于 4 小时。</w:t>
      </w:r>
    </w:p>
    <w:p w14:paraId="1D3ADFF7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4.3.2 直播运营：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负责直播间推流、网络保障，配合邀标方完成主播筛选、口播词、卖点梳理等前期筹备工作，制定针对性的直播转化策略（如限时秒杀、定金立减、线上核销、优先提车等）；</w:t>
      </w:r>
    </w:p>
    <w:p w14:paraId="7D9AF576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4.4 达人推广需求</w:t>
      </w:r>
    </w:p>
    <w:p w14:paraId="0AC41685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4.4.1 达人矩阵搭建：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根据三款新品的目标人群画像，搭建精准的达人推广矩阵，涵盖本地生活达人、骑行垂类达人、科技达人、亲子达人四类核心达人；达人粉丝量需匹配核心城市推广需求，且达人粉丝画像与产品目标人群高度契合。</w:t>
      </w:r>
    </w:p>
    <w:p w14:paraId="4D9A506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4.4.2 内容形式与要求：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所有达人需到快闪现场进行探店、试驾、体验，产出短视频等原创内容；内容需深度植入新品核心卖点与快闪活动信息，引导用户到线下体验或线上购买，严禁虚假宣传、负面表述。</w:t>
      </w:r>
    </w:p>
    <w:p w14:paraId="5554589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4.4.3 传播与品控：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所有达人推广内容需提前 2 个工作日提交邀标方审核，审核通过后方可发布；投标方需对达人推广内容进行全流程品控，负责达人内容发布后的传播数据监测；发布后 1 个工作日内，向邀标方提供传播数据（播放量、点赞、评论、引流数据等）。</w:t>
      </w:r>
    </w:p>
    <w:p w14:paraId="2F5EC437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4.4.4 达人合作保障：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全权负责达人的对接、邀约、费用结算，确保达人按约定时间到店、按要求产出内容，若达人出现违约行为，由投标方承担全部责任。</w:t>
      </w:r>
    </w:p>
    <w:p w14:paraId="1467D770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4.5 全案整合需求</w:t>
      </w:r>
    </w:p>
    <w:p w14:paraId="28537C7E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方需作为项目总负责方，负责线上线下全案整合运营，实现线下快闪、视觉设计、达人推广三大模块；制定全项目的传播节奏、执行节奏表，明确各模块的时间节点、责任人，确保各模块协同推进，实现品牌曝光与销售转化的双重目标。</w:t>
      </w:r>
    </w:p>
    <w:p w14:paraId="4EF9C818">
      <w:pPr>
        <w:pStyle w:val="4"/>
        <w:shd w:val="clear" w:color="auto" w:fill="FFFFFF"/>
        <w:spacing w:before="0" w:beforeAutospacing="0" w:after="0" w:afterAutospacing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41216BAF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招标须知</w:t>
      </w:r>
    </w:p>
    <w:p w14:paraId="3F155BA4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5.1 投标人资格</w:t>
      </w:r>
    </w:p>
    <w:p w14:paraId="29F1EEE5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5.1.1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投标人须具有独立法人资格，持有有效的营业执照、相关活动策划执行资质证明（需提供复印件加盖公章）；</w:t>
      </w:r>
    </w:p>
    <w:p w14:paraId="186F61C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5.1.2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投标人须具有大型活动策划与落地执行经验，且近 3 年具备新能源 / 交通工具行业推广项目案例（需提供合同复印件、项目成果报告等证明材料）；5.1.3 投标人须承认和履行本邀标文件中的所有条款与要求，通过邀标方资格审查并被定向邀请；5.1.4 投标人无违法违规记录、无重大项目履约违约记录，未被列入失信被执行人名单（需提供相关声明）；5.1.5 本项目不接受联合体投标，不允许分包、转包，投标人需独立完成全案设计与执行。</w:t>
      </w:r>
    </w:p>
    <w:p w14:paraId="3302DE92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5.2 投标费用</w:t>
      </w:r>
    </w:p>
    <w:p w14:paraId="4C6ADD65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5.2.1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投标人应自行承担所有与编写和提交投标文件有关的费用，包括但不限于设计稿制作、资料打印、邮寄、差旅、答疑参与等，不论投标结果如何，邀标人在任何情况下均无义务和责任承担该等费用；</w:t>
      </w:r>
    </w:p>
    <w:p w14:paraId="33BB565B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5.2.2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无论中标与否，投标人提交的所有投标资料（含设计稿、方案、资质文件、案例等）均不予退还，邀标方有权留存备案。</w:t>
      </w:r>
    </w:p>
    <w:p w14:paraId="315CE0EB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5.3 邀标文件</w:t>
      </w:r>
    </w:p>
    <w:p w14:paraId="0B1C27E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5.3.1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投标人应认真阅读本邀标文件中所有的事项、条款、规范及需求要求，若未按照邀标文件要求提交全部资料，或投标书未对邀标文件做出实质性响应，该投标将被拒绝，相关风险由投标人自行承担；</w:t>
      </w:r>
    </w:p>
    <w:p w14:paraId="480E89B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5.3.2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投标人对邀标文件内容有疑问的，需在答疑时间内以书面形式向邀标方提出，口头疑问不予受理；邀标方的答疑回复将以书面形式通知所有确认投标的单位，答疑回复为邀标文件的组成部分，具有法律约束力。</w:t>
      </w:r>
    </w:p>
    <w:p w14:paraId="21C5CACA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5.4 邀标文件的修改</w:t>
      </w:r>
    </w:p>
    <w:p w14:paraId="39D32D1F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5.4.1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在投标截止日期前的任何时候，邀标方可主动或在解答投标人问题时对邀标文件进行修改；</w:t>
      </w:r>
    </w:p>
    <w:p w14:paraId="74AB0516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5.4.2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邀标文件的修改将以邮件 + 盖章书面通知的形式，发送至所有确认投标的投标人，修改内容自通知发出之日起生效，对所有投标人均具有法律约束力；</w:t>
      </w:r>
    </w:p>
    <w:p w14:paraId="45CB6902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5.4.3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若邀标文件修改内容影响投标文件编制，邀标方可根据实际情况顺延投标截止时间，并书面通知所有投标人。</w:t>
      </w:r>
    </w:p>
    <w:p w14:paraId="0B67D8C7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5.5 投标文件编制要求</w:t>
      </w:r>
    </w:p>
    <w:p w14:paraId="6BD65D3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5.5.1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投标文件需按本邀标文件要求编制，纸质版一式伍份（正本壹份，副本肆份），电子版壹份（U 盘 / 光盘存储，含全套投标文件 PDF 版与可编辑版），纸质版与电子版内容需保持完全一致；</w:t>
      </w:r>
    </w:p>
    <w:p w14:paraId="393DB53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5.5.2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投标文件需采用 A4 纸张打印，胶装成册，编制目录并标注页码，便于查阅；正本需加盖投标人公章并由法定代表人 / 授权委托人签字，副本可加盖公章复印件；</w:t>
      </w:r>
    </w:p>
    <w:p w14:paraId="1D1C694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5.5.3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投标文件需按商务文件 - 技术方案文件 - 报价文件 - 附件文件的固定顺序编制，不得随意调整；</w:t>
      </w:r>
    </w:p>
    <w:p w14:paraId="4ACD043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5.5.4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投标文件需采用密封包装，密封袋需使用邀标方指定样式（或自封袋），并在密封袋上清晰标注：邀标文件编号、项目名称、投标人名称、“正本 / 副本 / 电子版”，同时在密封处加盖投标人公章；未密封、密封不合格或标注信息不清晰的投标文件，视为无效投标。</w:t>
      </w:r>
    </w:p>
    <w:p w14:paraId="1CECF116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5.6 废标条款</w:t>
      </w:r>
    </w:p>
    <w:p w14:paraId="0DAB0B65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投标人存在下列情形之一的，其投标将被视为废标，邀标方有权直接拒绝，不参与后续评标：</w:t>
      </w:r>
    </w:p>
    <w:p w14:paraId="07619BDC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①未在投标截止时间前递交 / 邮寄投标文件，或投标文件逾期送达的；</w:t>
      </w:r>
    </w:p>
    <w:p w14:paraId="2B77F586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②投标文件未按本文件要求编制、密封、签字、盖章的；</w:t>
      </w:r>
    </w:p>
    <w:p w14:paraId="08872DB5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③投标人不具备本文件规定的投标资格，或资质文件弄虚作假、缺失的；</w:t>
      </w:r>
    </w:p>
    <w:p w14:paraId="2CBF661C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④投标总报价高于项目总预算 100 万元，或未按要求单独提供设计费用报价的；</w:t>
      </w:r>
    </w:p>
    <w:p w14:paraId="39C9C4EE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⑥投标书未对邀标文件做出实质性响应，或明确拒绝履行本文件条款的；</w:t>
      </w:r>
    </w:p>
    <w:p w14:paraId="4ED9815B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⑦同一投标人提交两个及以上不同的投标方案或投标报价的；</w:t>
      </w:r>
    </w:p>
    <w:p w14:paraId="1B21F12A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⑧存在串通投标、弄虚作假、行贿等违法违规行为的；</w:t>
      </w:r>
    </w:p>
    <w:p w14:paraId="3F4D9C2D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⑨投标文件字迹模糊、无法辨认，或存在涂改、删减未加盖公章的；</w:t>
      </w:r>
    </w:p>
    <w:p w14:paraId="6597572D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5.7 质疑与投诉</w:t>
      </w:r>
    </w:p>
    <w:p w14:paraId="4DA35BF5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投标人对邀标文件、评标结果有异议的，可在规定时间内以书面形式向邀标方提出质疑，质疑函需加盖投标人公章并详细说明理由，附相关证明材料；5.7.2 邀标方在收到质疑函后 3 个工作日内，以书面形式予以回复；若投标人对回复不满意，可向邀标方上级主管部门提出投诉；5.7.3 质疑与投诉均需以书面形式提出，口头质疑、投诉不予受理；投标人恶意质疑、投诉的，邀标方有权取消其投标 / 中标资格。</w:t>
      </w:r>
    </w:p>
    <w:p w14:paraId="388FEE1E">
      <w:pPr>
        <w:pStyle w:val="4"/>
        <w:shd w:val="clear" w:color="auto" w:fill="FFFFFF"/>
        <w:spacing w:before="0" w:beforeAutospacing="0" w:after="0" w:afterAutospacing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1D7F8CD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投标报价与标书内容</w:t>
      </w:r>
    </w:p>
    <w:p w14:paraId="38A25962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6.1 投标报价</w:t>
      </w:r>
    </w:p>
    <w:p w14:paraId="3F01DB9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6.1.1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投标报价以人民币为唯一计价单位，报价为含税全包价（含增值税、设计费、搭建费、执行费、直播费、达人费、物料费、人员费、报批费、保险费等所有相关费用）；</w:t>
      </w:r>
    </w:p>
    <w:p w14:paraId="04CAA662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6.1.2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本次投标总报价不得高于 100 万元人民币，超出项目总预算的投标视为无效投标；</w:t>
      </w:r>
    </w:p>
    <w:p w14:paraId="1549F15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6.1.3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投标人应在本文件附件 6《投标报价表》中，明确标注投标总报价、各模块分项报价、单独设计费用报价，报价需清晰列明费用列支依据，每个方案仅允许有一个报价，任何有选择的报价将不予接受；</w:t>
      </w:r>
    </w:p>
    <w:p w14:paraId="4FA9CB05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6.1.4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投标方案必须单独包含设计费用，设计费用为单独收费标准，邀标方可单独按照报价购买设计方案，投标方需按照设计稿提供可执行落地的活动平面尺寸图、施工图及其他设计附件；</w:t>
      </w:r>
    </w:p>
    <w:p w14:paraId="706680AE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6.1.5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投标报价为固定总价，中标后不得因任何原因（如材料涨价、人工成本增加等）调整报价，邀标方无额外增补预算，所有后续整改、优化费用均由中标方承担。</w:t>
      </w:r>
    </w:p>
    <w:p w14:paraId="2CA42BFC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6.2 投标书核心内容</w:t>
      </w:r>
    </w:p>
    <w:p w14:paraId="41886940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投标人编写的投标书需包含以下四部分核心内容，缺一不可，缺失任何一部分将视为非实质性响应，予以拒绝：</w:t>
      </w:r>
    </w:p>
    <w:p w14:paraId="7D0FC458">
      <w:pPr>
        <w:ind w:leftChars="100" w:firstLine="210" w:firstLine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6.2.1 商务文件</w:t>
      </w:r>
    </w:p>
    <w:p w14:paraId="3C7502C8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①投标函（需按附件 2 模板填写，加盖公章、签字）；</w:t>
      </w:r>
    </w:p>
    <w:p w14:paraId="5E13C4C2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②投标人资格证明文件（营业执照、资质证明等，复印件加盖公章）；</w:t>
      </w:r>
    </w:p>
    <w:p w14:paraId="7F2A4032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③资格声明文件（关于资格的声明函、投标人资格声明、法定代表人授权书，按附件 3-5 模板填写，加盖公章、签字）；</w:t>
      </w:r>
    </w:p>
    <w:p w14:paraId="2E8B0BC9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④投标人近 3 年同类项目案例证明（含合同复印件、项目成果报告、现场照片 / 视频等）；</w:t>
      </w:r>
    </w:p>
    <w:p w14:paraId="1DB3FBA7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⑥项目团队配置证明（团队成员简历、从业经验、相关专业资质、过往项目业绩等）；</w:t>
      </w:r>
    </w:p>
    <w:p w14:paraId="4B6F1009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⑦投标人无违法违规、无失信记录的书面声明（加盖公章）。</w:t>
      </w:r>
    </w:p>
    <w:p w14:paraId="5A4A25F1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6.2.2 技术方案文件</w:t>
      </w:r>
    </w:p>
    <w:p w14:paraId="247B13B7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①项目整体执行方案（含项目核心策略、快闪场地规划设计、五城执行节奏表、人员配置表、安全预案、应急方案等）；</w:t>
      </w:r>
    </w:p>
    <w:p w14:paraId="69A4DCE8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②三款新品快闪视觉设计初步方案（含主视觉草图、场地平面布局初步图、展区设计思路等）；</w:t>
      </w:r>
    </w:p>
    <w:p w14:paraId="4108F78C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③线上直播规划（含直播平台规划、直播脚本、转化策略等）；</w:t>
      </w:r>
    </w:p>
    <w:p w14:paraId="2A604EA8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④达人推广策略（含达人推荐、达人筛选标准、传播节奏、达人合作保障等）；</w:t>
      </w:r>
    </w:p>
    <w:p w14:paraId="254D8E82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⑤项目 KPI 达成专项方案（含品牌曝光、销售转化、执行质量三类 KPI 的具体达成措施、数据监测方式等）；</w:t>
      </w:r>
    </w:p>
    <w:p w14:paraId="608D0643">
      <w:pPr>
        <w:ind w:leftChars="100" w:firstLine="210" w:firstLine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6.2.3 报价文件</w:t>
      </w:r>
    </w:p>
    <w:p w14:paraId="75A48C08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" w:hAnsi="Microsoft YaHei" w:eastAsia="Microsoft YaHei" w:cs="Microsoft YaHei"/>
          <w:b w:val="0"/>
          <w:bCs w:val="0"/>
          <w:lang w:val="en-US" w:eastAsia="zh-CN"/>
        </w:rPr>
        <w:t>①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投标报价表（按附件 6 模板填写，加盖公章、签字），含总报价、各模块分项报价、单独设计费用报价；</w:t>
      </w:r>
    </w:p>
    <w:p w14:paraId="64AFB32F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②报价说明（含费用列支依据、含税说明、税率、未包含费用说明等，加盖公章）。</w:t>
      </w:r>
    </w:p>
    <w:p w14:paraId="0C157AC1">
      <w:pPr>
        <w:ind w:leftChars="100" w:firstLine="210" w:firstLine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6.2.4 附件文件</w:t>
      </w:r>
    </w:p>
    <w:p w14:paraId="7B29399D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" w:hAnsi="Microsoft YaHei" w:eastAsia="Microsoft YaHei" w:cs="Microsoft YaHei"/>
          <w:b w:val="0"/>
          <w:bCs w:val="0"/>
          <w:lang w:val="en-US" w:eastAsia="zh-CN"/>
        </w:rPr>
        <w:t>①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邀标确认函（按附件 1 模板填写，加盖公章、签字）；</w:t>
      </w:r>
    </w:p>
    <w:p w14:paraId="4D9202F3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②本邀标文件要求的其他证明文件、补充材料。</w:t>
      </w:r>
    </w:p>
    <w:p w14:paraId="06F094A0">
      <w:pPr>
        <w:pStyle w:val="4"/>
        <w:shd w:val="clear" w:color="auto" w:fill="FFFFFF"/>
        <w:spacing w:before="0" w:beforeAutospacing="0" w:after="0" w:afterAutospacing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BC7832D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评标标准及办法</w:t>
      </w:r>
    </w:p>
    <w:p w14:paraId="5A60E818">
      <w:pPr>
        <w:ind w:leftChars="100"/>
        <w:rPr>
          <w:rFonts w:hint="eastAsia" w:ascii="Microsoft YaHei Regular" w:hAnsi="Microsoft YaHei Regular" w:eastAsia="Microsoft YaHei Regular" w:cs="Microsoft YaHei Regular"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本项目采用综合评分法进行评标，评标总分为 100 分，由 ** 商务分（20 分）、技术分（50 分）、报价分（30 分）** 三部分组成；评标委员会由邀标方品牌、市场、采购、法务等相关部门负责人组成，独立打分并计算平均分，按综合得分高低排序确定中标候选人。</w:t>
      </w:r>
    </w:p>
    <w:p w14:paraId="433C887D">
      <w:pPr>
        <w:ind w:leftChars="100"/>
        <w:rPr>
          <w:rFonts w:hint="eastAsia" w:ascii="Microsoft YaHei Regular" w:hAnsi="Microsoft YaHei Regular" w:eastAsia="Microsoft YaHei Regular" w:cs="Microsoft YaHei Regular"/>
          <w:b/>
          <w:bCs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sz w:val="21"/>
          <w:szCs w:val="21"/>
        </w:rPr>
        <w:t>7.1 详细评分细则</w:t>
      </w:r>
    </w:p>
    <w:tbl>
      <w:tblPr>
        <w:tblW w:w="9641" w:type="dxa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3"/>
        <w:gridCol w:w="1534"/>
        <w:gridCol w:w="6874"/>
      </w:tblGrid>
      <w:tr w14:paraId="2C2DB863">
        <w:trPr>
          <w:trHeight w:val="780" w:hRule="atLeast"/>
        </w:trPr>
        <w:tc>
          <w:tcPr>
            <w:tcW w:w="123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8CDF18B">
            <w:pPr>
              <w:ind w:leftChars="100"/>
              <w:jc w:val="center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评分维度</w:t>
            </w: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10ECC92">
            <w:pPr>
              <w:ind w:leftChars="100"/>
              <w:jc w:val="center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分值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F64237C">
            <w:pPr>
              <w:ind w:leftChars="100"/>
              <w:jc w:val="center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具体评分细则</w:t>
            </w:r>
          </w:p>
        </w:tc>
      </w:tr>
      <w:tr w14:paraId="786177C3">
        <w:trPr>
          <w:trHeight w:val="780" w:hRule="atLeast"/>
        </w:trPr>
        <w:tc>
          <w:tcPr>
            <w:tcW w:w="1233" w:type="dxa"/>
            <w:vMerge w:val="restart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D4A3D5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商务分</w:t>
            </w:r>
          </w:p>
          <w:p w14:paraId="2D0A6E61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（30 分）</w:t>
            </w: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5C6EA41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企业资质</w:t>
            </w:r>
          </w:p>
          <w:p w14:paraId="0E2BED5A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（5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1CE0F2C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具备完整的独立法人资质、活动策划执行相关资质，资质齐全、有效得 5 分；缺 1 项核心资质扣 2 分，扣完为止。</w:t>
            </w:r>
          </w:p>
        </w:tc>
      </w:tr>
      <w:tr w14:paraId="02C135F3">
        <w:trPr>
          <w:trHeight w:val="780" w:hRule="atLeast"/>
        </w:trPr>
        <w:tc>
          <w:tcPr>
            <w:tcW w:w="1233" w:type="dxa"/>
            <w:vMerge w:val="continue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D9C00F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E5F63C3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同类项目经验</w:t>
            </w:r>
          </w:p>
          <w:p w14:paraId="0608A73D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（20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C3D3F3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近 3 年有新能源 / 交通工具行业大型快闪 / 品牌推广项目案例，每提供 1 个完整案例得 5 分，最多 10 分；无行业案例得 0 分，非行业大型案例每个得 2 分。</w:t>
            </w:r>
          </w:p>
        </w:tc>
      </w:tr>
      <w:tr w14:paraId="15D19B5C">
        <w:trPr>
          <w:trHeight w:val="780" w:hRule="atLeast"/>
        </w:trPr>
        <w:tc>
          <w:tcPr>
            <w:tcW w:w="1233" w:type="dxa"/>
            <w:vMerge w:val="continue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99C70A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8493528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项目团队配置</w:t>
            </w:r>
          </w:p>
          <w:p w14:paraId="24794C8F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（5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4181315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项目团队成员均具备相关行业从业经验、专业资质，团队配置合理、匹配项目需求得 5 分；团队配置一般、部分成员无行业经验得 2-3 分；无专业项目团队得 0 分。</w:t>
            </w:r>
          </w:p>
        </w:tc>
      </w:tr>
      <w:tr w14:paraId="1F752CF0">
        <w:trPr>
          <w:trHeight w:val="780" w:hRule="atLeast"/>
        </w:trPr>
        <w:tc>
          <w:tcPr>
            <w:tcW w:w="1233" w:type="dxa"/>
            <w:vMerge w:val="restart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398035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技术分</w:t>
            </w:r>
          </w:p>
          <w:p w14:paraId="0CC46F8F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 xml:space="preserve">（50 分） </w:t>
            </w: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759E89C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整体方案策略</w:t>
            </w:r>
          </w:p>
          <w:p w14:paraId="7F7FF493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（15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D2E4576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方案贴合项目目的与产品定位，核心策略清晰、创新、可落地性强得 8-10 分；方案基本贴合项目需求，策略一般得 4-7 分；方案与项目需求不符，策略不可行得 0-3 分。</w:t>
            </w:r>
          </w:p>
        </w:tc>
      </w:tr>
      <w:tr w14:paraId="58C10D23">
        <w:trPr>
          <w:trHeight w:val="780" w:hRule="atLeast"/>
        </w:trPr>
        <w:tc>
          <w:tcPr>
            <w:tcW w:w="1233" w:type="dxa"/>
            <w:vMerge w:val="continue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BA1170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17D17F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快闪执行方案</w:t>
            </w:r>
          </w:p>
          <w:p w14:paraId="07D1133F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（30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54DC16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场地规划合理、体验环节丰富且贴合产品卖点、执行保障与安全预案完善得 8-10 分；场地规划基本合理、体验环节一般得 4-7 分；场地规划混乱、无执行保障方案得 0-3 分。</w:t>
            </w:r>
          </w:p>
        </w:tc>
      </w:tr>
      <w:tr w14:paraId="4D8A31E2">
        <w:trPr>
          <w:trHeight w:val="780" w:hRule="atLeast"/>
        </w:trPr>
        <w:tc>
          <w:tcPr>
            <w:tcW w:w="1233" w:type="dxa"/>
            <w:vMerge w:val="continue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19BD02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B086A63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视觉设计</w:t>
            </w:r>
          </w:p>
          <w:p w14:paraId="0FE2C24C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（5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DC59632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设计贴合产品设计方向与品牌定位、具备强可落地性、视觉效果佳得 6-8 分；设计基本贴合产品定位、可落地性一般得 3-5 分；设计与产品定位不符、无落地性得 0-2 分。</w:t>
            </w:r>
          </w:p>
        </w:tc>
      </w:tr>
      <w:tr w14:paraId="7EF95A68">
        <w:trPr>
          <w:trHeight w:val="780" w:hRule="atLeast"/>
        </w:trPr>
        <w:tc>
          <w:tcPr>
            <w:tcW w:w="123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89CBB8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报价分</w:t>
            </w:r>
          </w:p>
          <w:p w14:paraId="3206A7A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（20 分）</w:t>
            </w: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5105524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报价合理性</w:t>
            </w:r>
          </w:p>
          <w:p w14:paraId="6EA5E7F0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（20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4836267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以所有有效投标报价的最低报价为基准分（30 分），其他投标人报价得分计算公式：报价得分 = 30-（投标人报价 - 最低报价）/ 最低报价 ×100分值保留 2 位小数，最低得 0 分。</w:t>
            </w:r>
          </w:p>
        </w:tc>
      </w:tr>
    </w:tbl>
    <w:p w14:paraId="0E200559">
      <w:pPr>
        <w:rPr>
          <w:rFonts w:hint="eastAsia" w:ascii="Microsoft YaHei Regular" w:hAnsi="Microsoft YaHei Regular" w:eastAsia="Microsoft YaHei Regular" w:cs="Microsoft YaHei Regular"/>
          <w:sz w:val="16"/>
          <w:szCs w:val="18"/>
        </w:rPr>
      </w:pPr>
    </w:p>
    <w:p w14:paraId="05B258A9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7.2 评标规则</w:t>
      </w:r>
    </w:p>
    <w:p w14:paraId="01635D2D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①评标委员会首先对所有投标文件进行符合性审查，未通过审查的投标文件，不参与后续综合评分；</w:t>
      </w:r>
    </w:p>
    <w:p w14:paraId="718DE65F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②评标委员会成员独立对通过符合性审查的投标文件打分，打分结果取平均分，作为投标人的最终综合得分；</w:t>
      </w:r>
    </w:p>
    <w:p w14:paraId="105FCE71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③按综合得分从高到低排序，确定1 名中标候选人、2 名备选中标候选人；</w:t>
      </w:r>
    </w:p>
    <w:p w14:paraId="39D852B4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④若投标人综合得分相同，按技术分高低排序；若技术分仍相同，按投标报价从低到高排序；</w:t>
      </w:r>
    </w:p>
    <w:p w14:paraId="12CE60BA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⑤评标结果将在唱标结束后 3 个工作日内，以书面形式通知所有投标人；</w:t>
      </w:r>
    </w:p>
    <w:p w14:paraId="264A913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⑥邀标方拥有本次评标工作的最终解释权。</w:t>
      </w:r>
    </w:p>
    <w:p w14:paraId="3350A38D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37B6BA2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项目考核与验收标准</w:t>
      </w:r>
    </w:p>
    <w:p w14:paraId="038503EA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本项目设置执行质量 KPI量化考核指标，投标方需在技术方案中明确具体的达成措施；中标后，邀标方将</w:t>
      </w: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对项目进行阶段性验收与整体验收，未达成 KPI 的将按本文件第九章违约责任处理。</w:t>
      </w:r>
    </w:p>
    <w:p w14:paraId="4E074E1F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全项目（5 场快闪）结束后 7 个工作日内，中标方需向邀标方提交验收结算报告（含搭建制作、现场照片 / 视频、现场物料、三方人员、达人推广内容链接等）；邀标方按事先约定内容进行整体验收。</w:t>
      </w:r>
    </w:p>
    <w:p w14:paraId="4A16FFE5">
      <w:pPr>
        <w:rPr>
          <w:rFonts w:hint="eastAsia" w:ascii="Microsoft YaHei Regular" w:hAnsi="Microsoft YaHei Regular" w:eastAsia="Microsoft YaHei Regular" w:cs="Microsoft YaHei Regular"/>
        </w:rPr>
      </w:pPr>
    </w:p>
    <w:p w14:paraId="4DA8A36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合同主要条款与履约要求</w:t>
      </w:r>
    </w:p>
    <w:p w14:paraId="42A147D7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9.1 合同签订</w:t>
      </w:r>
    </w:p>
    <w:p w14:paraId="298B1DA6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9.1.1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评标结果确定后，邀标方将向中标方发出《中标通知书》，中标方需在收到《中标通知书》后 3 个工作日内，与邀标方签订正式的《项目服务合同》；</w:t>
      </w:r>
    </w:p>
    <w:p w14:paraId="7CE4F501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9.1.2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中标方未按约定时间签订合同，或签订合同后拒绝履行的，邀标方有权取消其中标资格，选择备选中标候选人，并追究中标方的违约责任；</w:t>
      </w:r>
    </w:p>
    <w:p w14:paraId="6AEB0E8D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9.1.3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本邀标文件、中标方的投标文件均为《项目服务合同》的组成部分，与合同具有同等法律效力。</w:t>
      </w:r>
    </w:p>
    <w:p w14:paraId="4AF6C539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9.2 项目履约要求</w:t>
      </w:r>
    </w:p>
    <w:p w14:paraId="0F5E90B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9.2.1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工期要求：中标方需按《项目服务合同》约定的时间节点，完成设计交付、快闪场地搭建、直播、达人推广等所有工作，不得擅自延期；确需延期的，需提前 3 个工作日向邀标方提交书面延期申请，经邀标方书面同意后方可延期，否则视为违约。</w:t>
      </w:r>
    </w:p>
    <w:p w14:paraId="7F8C63DD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9.2.2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整改要求：邀标方有权对项目执行、设计成果、直播 / 达人内容等提出修改、整改意见，中标方需在邀标方规定的时间内完成整改，整改费用由中标方承担，且不得因此调整投标报价。</w:t>
      </w:r>
    </w:p>
    <w:p w14:paraId="243533F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9.2.3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质保期要求：项目整体质保期为项目结束后 30 天；质保期内，若出现设计落地问题、现场展具质量问题、直播 / 达人内容侵权问题等，中标方需在 24 小时内响应，并免费完成整改，确保问题解决。</w:t>
      </w:r>
    </w:p>
    <w:p w14:paraId="684D2882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9.2.4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数据反馈要求：中标方需按本文件约定的时间，向邀标方提交项目各类数据报告，确保数据真实、完整、可追溯；邀标方有权对数据进行核查，若发现数据弄虚作假，视为中标方严重违约。</w:t>
      </w:r>
    </w:p>
    <w:p w14:paraId="194C001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9.2.5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人员与物料要求：中标方需按投标文件中承诺的团队配置、物料标准执行项目，不得擅自更换团队成员、降低物料标准；确需更换团队成员的，需提前 3 个工作日向邀标方书面申请，经同意后方可更换。</w:t>
      </w:r>
    </w:p>
    <w:p w14:paraId="2B8FCCA8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9.3 付款方式</w:t>
      </w:r>
    </w:p>
    <w:p w14:paraId="36C2E697">
      <w:pPr>
        <w:ind w:left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本项目付款均为银行转账，中标方需在每次付款前，向邀标方提供合法、有效的增值税专用发票，否则邀标方有权顺延付款，不承担违约责任；具体付款节点如下：</w:t>
      </w:r>
    </w:p>
    <w:p w14:paraId="5523295F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9.3.1 预付款：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合同签订后 7 个工作日内，邀标方向中标方支付合同总金额的30% 作为项目预付款，用于设计方案制作、物料采购等；</w:t>
      </w:r>
    </w:p>
    <w:p w14:paraId="6891F62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9.3.2 进度款：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完成 3 场快闪执行，且 3 场均通过阶段性验收后 7 个工作日内，邀标方向中标方支付合同总金额的40% 作为项目进度款；</w:t>
      </w:r>
    </w:p>
    <w:p w14:paraId="333234C4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9.3.3 尾款：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全项目结束后，经邀标方整体验收合格，且中标方提交完整的项目结案报告后 7 个工作日内，邀标方向中标方支付合同总金额的30% 作为项目尾款。</w:t>
      </w:r>
    </w:p>
    <w:p w14:paraId="7AD620F3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9.4 违约责任</w:t>
      </w:r>
    </w:p>
    <w:p w14:paraId="74061091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9.4.1 中标方擅自延期违约：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中标方未按约定时间完成项目工作，且未取得邀标方延期同意的，每延期 1 天，按合同总金额的0.5% 向邀标方支付违约金，违约金累计不超过合同总金额的 20%；延期超过 10 天的，邀标方有权解除合同，没收预付款，并要求中标方赔偿实际损失。</w:t>
      </w:r>
    </w:p>
    <w:p w14:paraId="4F35951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9.4.2 弄虚作假 / 负面舆情违约：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中标方在项目执行过程中，存在数据弄虚作假、达人虚假宣传、品牌负面舆情等行为的，邀标方有权立即解除合同，没收所有已付款项，并要求中标方按合同总金额的 30% 支付违约金，赔偿邀标方因此造成的所有损失（含品牌损失、维权费用等）。</w:t>
      </w:r>
    </w:p>
    <w:p w14:paraId="7F40DE43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9.4.3 邀标方付款违约：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邀标方未按合同约定时间支付款项，且无合理理由的，每延期 1 天，按应付未付金额的0.5% 向中标方支付违约金，违约金累计不超过合同总金额的 20%。</w:t>
      </w:r>
    </w:p>
    <w:p w14:paraId="61A89C5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9.4.4 其他违约：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本文件未约定的违约责任，按《中华人民共和国民法典》相关规定执行。</w:t>
      </w:r>
    </w:p>
    <w:p w14:paraId="6981FC75">
      <w:pPr>
        <w:rPr>
          <w:rFonts w:hint="eastAsia" w:ascii="Microsoft YaHei Regular" w:hAnsi="Microsoft YaHei Regular" w:eastAsia="Microsoft YaHei Regular" w:cs="Microsoft YaHei Regular"/>
        </w:rPr>
      </w:pPr>
    </w:p>
    <w:p w14:paraId="0D2FD1EB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投标有效期与其他约定</w:t>
      </w:r>
    </w:p>
    <w:p w14:paraId="6E9D7C3C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10.1 投标有效期</w:t>
      </w:r>
    </w:p>
    <w:p w14:paraId="28E8FE80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书自投标截止之日起六十个工作日内有效；投标有效期比本规定短的，视为非响应性投标，予以拒绝；在投标有效期内，投标人不得擅自撤销、修改投标文件，否则邀标方有权没收其投标相关资料，取消投标资格。</w:t>
      </w:r>
    </w:p>
    <w:p w14:paraId="31FB0F58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10.2 知识产权</w:t>
      </w:r>
    </w:p>
    <w:p w14:paraId="1199E3E6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10.2.1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中标方在项目执行过程中提交的设计方案、执行方案、直播脚本、达人内容模板等所有成果的知识产权，在邀标方支付全部合同款项后，归邀标方独家所有；</w:t>
      </w:r>
    </w:p>
    <w:p w14:paraId="06048BA6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10.2.2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中标方不得擅自使用、复制、传播该等知识产权成果，否则邀标方有权追究其中标方的法律责任，要求赔偿损失；</w:t>
      </w:r>
    </w:p>
    <w:p w14:paraId="3BE2D64F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10.2.3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若中标方提交的设计方案、内容模板等存在知识产权侵权问题，由中标方承担全部法律责任，赔偿邀标方因此造成的所有损失（含维权费用、品牌损失等）。</w:t>
      </w:r>
    </w:p>
    <w:p w14:paraId="3A2A9F93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10.3 保密条款</w:t>
      </w:r>
    </w:p>
    <w:p w14:paraId="4726BC2B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10.3.1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投标人在投标过程中，获取的邀标方商业秘密（含产品信息、项目信息、财务信息、品牌规划等），负有严格的保密义务；</w:t>
      </w:r>
    </w:p>
    <w:p w14:paraId="669627D1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10.3.2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未经邀标方书面同意，投标人不得向任何第三方泄露上述商业秘密，保密义务在投标结束后持续有效，保密期限为 2 年；</w:t>
      </w:r>
    </w:p>
    <w:p w14:paraId="3A5B4A1A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10.3.3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若投标人泄露邀标方商业秘密，需赔偿邀标方因此造成的所有损失，邀标方有权取消其投标 / 中标资格。</w:t>
      </w:r>
    </w:p>
    <w:p w14:paraId="22561C91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10.4 其他约定</w:t>
      </w:r>
    </w:p>
    <w:p w14:paraId="2C88561B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10.4.1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本邀标文件的最终解释权归立马车业集团有限公司所有；</w:t>
      </w:r>
    </w:p>
    <w:p w14:paraId="21D86DC0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10.4.2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本邀标文件与正式《项目服务合同》内容不一致的，以正式合同为准；</w:t>
      </w:r>
    </w:p>
    <w:p w14:paraId="6830F694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10.4.3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本项目执行过程中发生的争议，双方应首先友好协商解决；协商不成的，任何一方均有权向邀标方所在地人民法院提起诉讼；</w:t>
      </w:r>
    </w:p>
    <w:p w14:paraId="67071B22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10.4.4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本邀标文件未尽事宜，由双方协商后签订补充协议，补充协议与本文件具有同等法律效力。</w:t>
      </w:r>
    </w:p>
    <w:p w14:paraId="632834B1">
      <w:pPr>
        <w:rPr>
          <w:rFonts w:hint="eastAsia" w:ascii="Microsoft YaHei Regular" w:hAnsi="Microsoft YaHei Regular" w:eastAsia="Microsoft YaHei Regular" w:cs="Microsoft YaHei Regular"/>
        </w:rPr>
      </w:pPr>
    </w:p>
    <w:p w14:paraId="78ED889C">
      <w:pPr>
        <w:rPr>
          <w:rFonts w:hint="eastAsia" w:ascii="Microsoft YaHei Regular" w:hAnsi="Microsoft YaHei Regular" w:eastAsia="Microsoft YaHei Regular" w:cs="Microsoft YaHei Regular"/>
        </w:rPr>
      </w:pPr>
    </w:p>
    <w:p w14:paraId="1B5AE71E">
      <w:pPr>
        <w:rPr>
          <w:rFonts w:hint="eastAsia" w:ascii="Microsoft YaHei Regular" w:hAnsi="Microsoft YaHei Regular" w:eastAsia="Microsoft YaHei Regular" w:cs="Microsoft YaHei Regular"/>
        </w:rPr>
      </w:pPr>
    </w:p>
    <w:p w14:paraId="1B4D5C51">
      <w:pPr>
        <w:rPr>
          <w:rFonts w:hint="eastAsia" w:ascii="Microsoft YaHei Regular" w:hAnsi="Microsoft YaHei Regular" w:eastAsia="Microsoft YaHei Regular" w:cs="Microsoft YaHei Regular"/>
        </w:rPr>
      </w:pPr>
    </w:p>
    <w:p w14:paraId="243BC2BE">
      <w:pPr>
        <w:rPr>
          <w:rFonts w:hint="eastAsia" w:ascii="Microsoft YaHei Regular" w:hAnsi="Microsoft YaHei Regular" w:eastAsia="Microsoft YaHei Regular" w:cs="Microsoft YaHei Regular"/>
        </w:rPr>
      </w:pPr>
    </w:p>
    <w:p w14:paraId="2BFE038B">
      <w:pPr>
        <w:rPr>
          <w:rFonts w:hint="eastAsia" w:ascii="Microsoft YaHei Regular" w:hAnsi="Microsoft YaHei Regular" w:eastAsia="Microsoft YaHei Regular" w:cs="Microsoft YaHei Regular"/>
        </w:rPr>
      </w:pPr>
    </w:p>
    <w:p w14:paraId="3543911B">
      <w:pPr>
        <w:rPr>
          <w:rFonts w:hint="eastAsia" w:ascii="Microsoft YaHei Regular" w:hAnsi="Microsoft YaHei Regular" w:eastAsia="Microsoft YaHei Regular" w:cs="Microsoft YaHei Regular"/>
        </w:rPr>
      </w:pPr>
    </w:p>
    <w:p w14:paraId="133D380A">
      <w:pPr>
        <w:rPr>
          <w:rFonts w:hint="eastAsia" w:ascii="Microsoft YaHei Regular" w:hAnsi="Microsoft YaHei Regular" w:eastAsia="Microsoft YaHei Regular" w:cs="Microsoft YaHei Regular"/>
        </w:rPr>
      </w:pPr>
    </w:p>
    <w:p w14:paraId="215CEFE0">
      <w:pPr>
        <w:rPr>
          <w:rFonts w:hint="eastAsia" w:ascii="Microsoft YaHei Regular" w:hAnsi="Microsoft YaHei Regular" w:eastAsia="Microsoft YaHei Regular" w:cs="Microsoft YaHei Regular"/>
        </w:rPr>
      </w:pPr>
    </w:p>
    <w:p w14:paraId="31CE0013">
      <w:pPr>
        <w:pStyle w:val="4"/>
        <w:shd w:val="clear" w:color="auto" w:fill="FFFFFF"/>
        <w:spacing w:before="0" w:beforeAutospacing="0" w:after="0" w:afterAutospacing="0"/>
        <w:ind w:left="480"/>
        <w:rPr>
          <w:rFonts w:hint="eastAsia" w:ascii="Microsoft YaHei Regular" w:hAnsi="Microsoft YaHei Regular" w:eastAsia="Microsoft YaHei Regular" w:cs="Microsoft YaHei Regular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crosoft YaHei Regular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Bold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EE627"/>
    <w:multiLevelType w:val="singleLevel"/>
    <w:tmpl w:val="FE4EE6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FC661B"/>
    <w:multiLevelType w:val="multilevel"/>
    <w:tmpl w:val="1AFC661B"/>
    <w:lvl w:ilvl="0" w:tentative="0">
      <w:start w:val="1"/>
      <w:numFmt w:val="japaneseCounting"/>
      <w:lvlText w:val="第%1章"/>
      <w:lvlJc w:val="left"/>
      <w:pPr>
        <w:ind w:left="94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16"/>
    <w:rsid w:val="00062EC0"/>
    <w:rsid w:val="00174A06"/>
    <w:rsid w:val="00174A80"/>
    <w:rsid w:val="001758E6"/>
    <w:rsid w:val="00176D98"/>
    <w:rsid w:val="001925CC"/>
    <w:rsid w:val="0028266E"/>
    <w:rsid w:val="002A44A2"/>
    <w:rsid w:val="002D3E6C"/>
    <w:rsid w:val="002F748C"/>
    <w:rsid w:val="00324465"/>
    <w:rsid w:val="003A0E69"/>
    <w:rsid w:val="003A5199"/>
    <w:rsid w:val="003D1C58"/>
    <w:rsid w:val="00433ECB"/>
    <w:rsid w:val="00455EBC"/>
    <w:rsid w:val="0046694F"/>
    <w:rsid w:val="0048713D"/>
    <w:rsid w:val="00495CC7"/>
    <w:rsid w:val="004B6B66"/>
    <w:rsid w:val="004F20D8"/>
    <w:rsid w:val="004F3790"/>
    <w:rsid w:val="00560FDB"/>
    <w:rsid w:val="005648F6"/>
    <w:rsid w:val="00591994"/>
    <w:rsid w:val="0066623C"/>
    <w:rsid w:val="00666278"/>
    <w:rsid w:val="00694DBE"/>
    <w:rsid w:val="006C2CEA"/>
    <w:rsid w:val="006C2DE2"/>
    <w:rsid w:val="006D6EEA"/>
    <w:rsid w:val="007174E6"/>
    <w:rsid w:val="00743E3D"/>
    <w:rsid w:val="007A40CD"/>
    <w:rsid w:val="007C1173"/>
    <w:rsid w:val="008179A0"/>
    <w:rsid w:val="008A664A"/>
    <w:rsid w:val="008E5D47"/>
    <w:rsid w:val="009200B0"/>
    <w:rsid w:val="00967D5A"/>
    <w:rsid w:val="00A023F9"/>
    <w:rsid w:val="00A14818"/>
    <w:rsid w:val="00AD47AB"/>
    <w:rsid w:val="00B860C4"/>
    <w:rsid w:val="00B971AE"/>
    <w:rsid w:val="00BA04B7"/>
    <w:rsid w:val="00BA1216"/>
    <w:rsid w:val="00C00C8C"/>
    <w:rsid w:val="00C227B0"/>
    <w:rsid w:val="00C47836"/>
    <w:rsid w:val="00CC7A90"/>
    <w:rsid w:val="00CF3FB5"/>
    <w:rsid w:val="00D55BE5"/>
    <w:rsid w:val="00D66FD0"/>
    <w:rsid w:val="00E14611"/>
    <w:rsid w:val="00E317E6"/>
    <w:rsid w:val="00E64F2C"/>
    <w:rsid w:val="00E7075A"/>
    <w:rsid w:val="00E82BFD"/>
    <w:rsid w:val="00ED249C"/>
    <w:rsid w:val="00EF6560"/>
    <w:rsid w:val="00F57832"/>
    <w:rsid w:val="01F1157B"/>
    <w:rsid w:val="04D24326"/>
    <w:rsid w:val="0A6E0B9B"/>
    <w:rsid w:val="0B2B2002"/>
    <w:rsid w:val="195F1A34"/>
    <w:rsid w:val="1EBD3B62"/>
    <w:rsid w:val="1ECB1329"/>
    <w:rsid w:val="21B47994"/>
    <w:rsid w:val="21E06099"/>
    <w:rsid w:val="246E0E0B"/>
    <w:rsid w:val="27F94982"/>
    <w:rsid w:val="28771207"/>
    <w:rsid w:val="2D287BC3"/>
    <w:rsid w:val="2E427977"/>
    <w:rsid w:val="2FE106D3"/>
    <w:rsid w:val="300701D9"/>
    <w:rsid w:val="31A85D6B"/>
    <w:rsid w:val="33633938"/>
    <w:rsid w:val="36502E6A"/>
    <w:rsid w:val="36A14213"/>
    <w:rsid w:val="37D5297C"/>
    <w:rsid w:val="3A905BD9"/>
    <w:rsid w:val="3C043357"/>
    <w:rsid w:val="3C764861"/>
    <w:rsid w:val="434304EA"/>
    <w:rsid w:val="489D2DBB"/>
    <w:rsid w:val="4A3541D6"/>
    <w:rsid w:val="4AD23989"/>
    <w:rsid w:val="4B1E1952"/>
    <w:rsid w:val="4BDB3090"/>
    <w:rsid w:val="4D1A2C2C"/>
    <w:rsid w:val="4E1C41B2"/>
    <w:rsid w:val="503C1881"/>
    <w:rsid w:val="511A58F1"/>
    <w:rsid w:val="534F07A8"/>
    <w:rsid w:val="551B053A"/>
    <w:rsid w:val="592F0045"/>
    <w:rsid w:val="5CB36BF9"/>
    <w:rsid w:val="5CC76201"/>
    <w:rsid w:val="626827CC"/>
    <w:rsid w:val="6315416A"/>
    <w:rsid w:val="631571E5"/>
    <w:rsid w:val="63950E07"/>
    <w:rsid w:val="654E74BF"/>
    <w:rsid w:val="726739DF"/>
    <w:rsid w:val="730F11EA"/>
    <w:rsid w:val="74CC180A"/>
    <w:rsid w:val="77E33538"/>
    <w:rsid w:val="78775A95"/>
    <w:rsid w:val="7E7A0ECD"/>
    <w:rsid w:val="D3DDB539"/>
    <w:rsid w:val="F9FB5BFA"/>
    <w:rsid w:val="FE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2.xml><?xml version="1.0" encoding="utf-8"?>
<contractReview xmlns="http://schemas.wps.cn/vas-ai-hub/contract-review">
  <reviewItems>
    <reviewItem>
      <errorID>813ef987-cf17-49ef-9ed6-f7a1e5171f32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57A7DAD0</paraID>
      <start>6</start>
      <end>7</end>
      <status>modified</status>
      <modifiedWord>：</modifiedWord>
      <trackRevisions>false</trackRevisions>
    </reviewItem>
    <reviewItem>
      <errorID>cefdae0f-6993-4f76-8f92-5de833127613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3DB85A3F</paraID>
      <start>4</start>
      <end>5</end>
      <status>modified</status>
      <modifiedWord>：</modifiedWord>
      <trackRevisions>false</trackRevisions>
    </reviewItem>
    <reviewItem>
      <errorID>236fc040-beef-4a0f-b999-fac8e270fcc8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27A2EFD0</paraID>
      <start>3</start>
      <end>4</end>
      <status>modified</status>
      <modifiedWord>：</modifiedWord>
      <trackRevisions>false</trackRevisions>
    </reviewItem>
    <reviewItem>
      <errorID>2df1c686-601d-4b67-96e8-d81f0fdb239e</errorID>
      <errorWord>业</errorWord>
      <group>L1_Word</group>
      <groupName>字词问题</groupName>
      <ability>L2_Typo</ability>
      <abilityName>字词错误</abilityName>
      <candidateList>
        <item>业最</item>
      </candidateList>
      <explain/>
      <paraID>135D59D2</paraID>
      <start>573</start>
      <end>575</end>
      <status>modified</status>
      <modifiedWord>业最</modifiedWord>
      <trackRevisions>false</trackRevisions>
    </reviewItem>
    <reviewItem>
      <errorID>1d9ec000-7a08-400a-a0d0-c6afccf4b0cb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158D338B</paraID>
      <start>0</start>
      <end>2</end>
      <status>unmodified</status>
      <modifiedWord/>
      <trackRevisions>false</trackRevisions>
    </reviewItem>
    <reviewItem>
      <errorID>4cf7c580-c204-4a02-9bc8-a3fd6c2881c8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52200BE2</paraID>
      <start>0</start>
      <end>2</end>
      <status>unmodified</status>
      <modifiedWord/>
      <trackRevisions>false</trackRevisions>
    </reviewItem>
    <reviewItem>
      <errorID>eb233c1b-ccc0-4078-b192-227de6dfddfb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1697D115</paraID>
      <start>0</start>
      <end>2</end>
      <status>unmodified</status>
      <modifiedWord/>
      <trackRevisions>false</trackRevisions>
    </reviewItem>
    <reviewItem>
      <errorID>e066bcbc-4755-41ea-9504-94ee3fec441f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6FDC35ED</paraID>
      <start>0</start>
      <end>2</end>
      <status>unmodified</status>
      <modifiedWord/>
      <trackRevisions>false</trackRevisions>
    </reviewItem>
    <reviewItem>
      <errorID>06e5363b-38f0-4903-8044-ec53a73b0f63</errorID>
      <errorWord>方</errorWord>
      <group>L1_Word</group>
      <groupName>字词问题</groupName>
      <ability>L2_Typo</ability>
      <abilityName>字词错误</abilityName>
      <candidateList>
        <item>方米</item>
      </candidateList>
      <explain/>
      <paraID>6FDC35ED</paraID>
      <start>14</start>
      <end>16</end>
      <status>modified</status>
      <modifiedWord>方米</modifiedWord>
      <trackRevisions>false</trackRevisions>
    </reviewItem>
    <reviewItem>
      <errorID>5ea65a75-07a9-4a8c-b445-6a6d84f20fb1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60884BF2</paraID>
      <start>0</start>
      <end>2</end>
      <status>unmodified</status>
      <modifiedWord/>
      <trackRevisions>false</trackRevisions>
    </reviewItem>
    <reviewItem>
      <errorID>492ac622-25c9-49d5-a93a-dd2d23d43844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3069505B</paraID>
      <start>76</start>
      <end>77</end>
      <status>unmodified</status>
      <modifiedWord/>
      <trackRevisions>false</trackRevisions>
    </reviewItem>
    <reviewItem>
      <errorID>d9522ed6-3bce-4bce-aa70-ecb95f34ca2d</errorID>
      <errorWord>......</errorWord>
      <group>L1_Punc</group>
      <groupName>标点问题</groupName>
      <ability>L2_Punc</ability>
      <abilityName>标点符号检查</abilityName>
      <candidateList>
        <item>……</item>
      </candidateList>
      <explain>省略号错误。</explain>
      <paraID>77466AF2</paraID>
      <start>80</start>
      <end>86</end>
      <status>unmodified</status>
      <modifiedWord/>
      <trackRevisions>false</trackRevisions>
    </reviewItem>
    <reviewItem>
      <errorID>3f14910b-bbd8-43ff-b964-d4b586c14b9d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77466AF2</paraID>
      <start>100</start>
      <end>101</end>
      <status>unmodified</status>
      <modifiedWord/>
      <trackRevisions>false</trackRevisions>
    </reviewItem>
    <reviewItem>
      <errorID>9c7a1ed3-0522-49bb-b275-cc6c045622ef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77466AF2</paraID>
      <start>117</start>
      <end>118</end>
      <status>unmodified</status>
      <modifiedWord/>
      <trackRevisions>false</trackRevisions>
    </reviewItem>
    <reviewItem>
      <errorID>a6661532-f836-480a-ae1a-e643d4118319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77466AF2</paraID>
      <start>120</start>
      <end>121</end>
      <status>unmodified</status>
      <modifiedWord/>
      <trackRevisions>false</trackRevisions>
    </reviewItem>
    <reviewItem>
      <errorID>0f1fc897-8a93-4071-8c07-521bd67847d4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34BC0FC1</paraID>
      <start>0</start>
      <end>2</end>
      <status>unmodified</status>
      <modifiedWord/>
      <trackRevisions>false</trackRevisions>
    </reviewItem>
    <reviewItem>
      <errorID>529460fa-ef49-48d2-8fe6-f2159d834186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CE29D03</paraID>
      <start>0</start>
      <end>2</end>
      <status>unmodified</status>
      <modifiedWord/>
      <trackRevisions>false</trackRevisions>
    </reviewItem>
    <reviewItem>
      <errorID>2ff117f3-fa79-49b7-aaa0-1dc7e0aaaf11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1EB2A83F</paraID>
      <start>0</start>
      <end>2</end>
      <status>unmodified</status>
      <modifiedWord/>
      <trackRevisions>false</trackRevisions>
    </reviewItem>
    <reviewItem>
      <errorID>c2f656fe-54b1-4eed-bced-ea9a9e553a6f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F882530</paraID>
      <start>0</start>
      <end>3</end>
      <status>unmodified</status>
      <modifiedWord/>
      <trackRevisions>false</trackRevisions>
    </reviewItem>
    <reviewItem>
      <errorID>6e3d00b3-5439-4eef-aa6f-db5be8e8210a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3CDA467D</paraID>
      <start>0</start>
      <end>3</end>
      <status>unmodified</status>
      <modifiedWord/>
      <trackRevisions>false</trackRevisions>
    </reviewItem>
    <reviewItem>
      <errorID>d88dfce5-127c-4cbc-bddd-8034e79b3419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3CDA467D</paraID>
      <start>19</start>
      <end>20</end>
      <status>unmodified</status>
      <modifiedWord/>
      <trackRevisions>false</trackRevisions>
    </reviewItem>
    <reviewItem>
      <errorID>e4568588-78e2-49d2-a3e6-95794a9d4653</errorID>
      <errorWord>2025年12月01日</errorWord>
      <group>L1_Knowledge</group>
      <groupName>知识性问题</groupName>
      <ability>L2_Time</ability>
      <abilityName>日期时间</abilityName>
      <candidateList>
        <item>2025年12月1日</item>
      </candidateList>
      <explain>根据日常书写习惯，日期一般会省略前导零。</explain>
      <paraID>3CDA467D</paraID>
      <start>20</start>
      <end>30</end>
      <status>modified</status>
      <modifiedWord>2025年12月1日</modifiedWord>
      <trackRevisions>false</trackRevisions>
    </reviewItem>
    <reviewItem>
      <errorID>0cd31cd7-6ff4-4f1b-ba54-5c83f210a6c5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3244A16B</paraID>
      <start>0</start>
      <end>3</end>
      <status>unmodified</status>
      <modifiedWord/>
      <trackRevisions>false</trackRevisions>
    </reviewItem>
    <reviewItem>
      <errorID>076cf613-ab24-46c0-b076-03706992355d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52C1F9D7</paraID>
      <start>0</start>
      <end>3</end>
      <status>unmodified</status>
      <modifiedWord/>
      <trackRevisions>false</trackRevisions>
    </reviewItem>
    <reviewItem>
      <errorID>ab43f40f-3af7-4101-bb2c-46aecb579dfa</errorID>
      <errorWord>须为</errorWord>
      <group>L1_Word</group>
      <groupName>字词问题</groupName>
      <ability>L2_Typo</ability>
      <abilityName>字词错误</abilityName>
      <candidateList>
        <item>须</item>
      </candidateList>
      <explain>（鬚）xū❶原来指长在下巴上的胡子，后来泛指胡须：～发｜～眉。❷须子：触～｜花～。</explain>
      <paraID>54F65865</paraID>
      <start>7</start>
      <end>8</end>
      <status>modified</status>
      <modifiedWord>须</modifiedWord>
      <trackRevisions>false</trackRevisions>
    </reviewItem>
    <reviewItem>
      <errorID>12d3f189-54e8-4deb-8928-d0e3b8011eb9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13C1B553</paraID>
      <start>29</start>
      <end>30</end>
      <status>modified</status>
      <modifiedWord>（</modifiedWord>
      <trackRevisions>false</trackRevisions>
    </reviewItem>
    <reviewItem>
      <errorID>5ea2850f-6983-4523-bd66-3644e6c4ecda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13C1B553</paraID>
      <start>38</start>
      <end>39</end>
      <status>modified</status>
      <modifiedWord>）</modifiedWord>
      <trackRevisions>false</trackRevisions>
    </reviewItem>
    <reviewItem>
      <errorID>9a601ad7-95d9-4549-b05f-a91a14e8a09e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35EBC5A3</paraID>
      <start>0</start>
      <end>3</end>
      <status>unmodified</status>
      <modifiedWord/>
      <trackRevisions>false</trackRevisions>
    </reviewItem>
    <reviewItem>
      <errorID>21869e73-a7d8-4f50-8fbc-b3d8ec6a65cf</errorID>
      <errorWord>回标</errorWord>
      <group>L1_Word</group>
      <groupName>字词问题</groupName>
      <ability>L2_Typo</ability>
      <abilityName>字词错误</abilityName>
      <candidateList>
        <item>投标</item>
      </candidateList>
      <explain/>
      <paraID>35EBC5A3</paraID>
      <start>5</start>
      <end>7</end>
      <status>unmodified</status>
      <modifiedWord/>
      <trackRevisions>false</trackRevisions>
    </reviewItem>
    <reviewItem>
      <errorID>2f445133-d905-4bfe-8a4d-d1d919394364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4F3799B0</paraID>
      <start>0</start>
      <end>3</end>
      <status>unmodified</status>
      <modifiedWord/>
      <trackRevisions>false</trackRevisions>
    </reviewItem>
    <reviewItem>
      <errorID>3003addb-212d-4598-842a-3d68d5c3aa19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351AD5B3</paraID>
      <start>0</start>
      <end>3</end>
      <status>unmodified</status>
      <modifiedWord/>
      <trackRevisions>false</trackRevisions>
    </reviewItem>
    <reviewItem>
      <errorID>5586be75-3075-47ba-992e-1a2b6b2ae8f8</errorID>
      <errorWord>符介</errorWord>
      <group>L1_Word</group>
      <groupName>字词问题</groupName>
      <ability>L2_Typo</ability>
      <abilityName>字词错误</abilityName>
      <candidateList>
        <item>符合</item>
      </candidateList>
      <explain>〈动〉（数量、形状、情节等）相合：～事实｜这些产品不～质量标准。</explain>
      <paraID>351AD5B3</paraID>
      <start>28</start>
      <end>30</end>
      <status>modified</status>
      <modifiedWord>符合</modifiedWord>
      <trackRevisions>false</trackRevisions>
    </reviewItem>
    <reviewItem>
      <errorID>a65c0fc2-7fa1-4de4-8598-b25e1916fcf7</errorID>
      <errorWord>邀标文件</errorWord>
      <group>L1_Knowledge</group>
      <groupName>知识性问题</groupName>
      <ability>L2_Term</ability>
      <abilityName>专业术语</abilityName>
      <candidateList>
        <item>招标文件</item>
      </candidateList>
      <explain/>
      <paraID>351AD5B3</paraID>
      <start>30</start>
      <end>34</end>
      <status>modified</status>
      <modifiedWord>招标文件</modifiedWord>
      <trackRevisions>false</trackRevisions>
    </reviewItem>
    <reviewItem>
      <errorID>78ccfb7d-1776-4b21-8075-1556fadb5208</errorID>
      <errorWord>投标的</errorWord>
      <group>L1_Word</group>
      <groupName>字词问题</groupName>
      <ability>L2_Typo</ability>
      <abilityName>字词错误</abilityName>
      <candidateList>
        <item>投标</item>
      </candidateList>
      <explain/>
      <paraID>256877AB</paraID>
      <start>4</start>
      <end>6</end>
      <status>modified</status>
      <modifiedWord>投标</modifiedWord>
      <trackRevisions>false</trackRevisions>
    </reviewItem>
    <reviewItem>
      <errorID>73a3667b-2081-4a8e-921e-df0e4d03c616</errorID>
      <errorWord>方可</errorWord>
      <group>L1_Word</group>
      <groupName>字词问题</groupName>
      <ability>L2_Typo</ability>
      <abilityName>字词错误</abilityName>
      <candidateList>
        <item>可</item>
      </candidateList>
      <explain>〈动〉适合：～人意｜这回倒～了他的心了。</explain>
      <paraID>256877AB</paraID>
      <start>34</start>
      <end>35</end>
      <status>modified</status>
      <modifiedWord>可</modifiedWord>
      <trackRevisions>false</trackRevisions>
    </reviewItem>
    <reviewItem>
      <errorID>d93934ba-727c-460a-baa7-40de5adc3ca3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ADFBA76</paraID>
      <start>0</start>
      <end>3</end>
      <status>unmodified</status>
      <modifiedWord/>
      <trackRevisions>false</trackRevisions>
    </reviewItem>
    <reviewItem>
      <errorID>58e28619-32f3-4240-9421-d96cdba6f140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ADFBA76</paraID>
      <start>8</start>
      <end>9</end>
      <status>unmodified</status>
      <modifiedWord/>
      <trackRevisions>false</trackRevisions>
    </reviewItem>
    <reviewItem>
      <errorID>0c706022-7b4c-447a-92bb-4897c9a5755f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ADFBA76</paraID>
      <start>22</start>
      <end>23</end>
      <status>unmodified</status>
      <modifiedWord/>
      <trackRevisions>false</trackRevisions>
    </reviewItem>
    <reviewItem>
      <errorID>668fbd4d-6261-4ffa-9d1d-a11c5bdd7fa0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ADFBA76</paraID>
      <start>27</start>
      <end>28</end>
      <status>unmodified</status>
      <modifiedWord/>
      <trackRevisions>false</trackRevisions>
    </reviewItem>
    <reviewItem>
      <errorID>6f7c4625-81ba-4850-9509-9a747a240a40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27CE8E8A</paraID>
      <start>0</start>
      <end>3</end>
      <status>unmodified</status>
      <modifiedWord/>
      <trackRevisions>false</trackRevisions>
    </reviewItem>
    <reviewItem>
      <errorID>f5599644-9bd3-4cfb-9742-c02dd02acb39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27CE8E8A</paraID>
      <start>8</start>
      <end>9</end>
      <status>unmodified</status>
      <modifiedWord/>
      <trackRevisions>false</trackRevisions>
    </reviewItem>
    <reviewItem>
      <errorID>5f4d976c-d825-4236-98fb-9728c37dc331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27CE8E8A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BB655F-B864-4629-8C8C-C278425C3076}">
  <ds:schemaRefs/>
</ds:datastoreItem>
</file>

<file path=customXml/itemProps2.xml><?xml version="1.0" encoding="utf-8"?>
<ds:datastoreItem xmlns:ds="http://schemas.openxmlformats.org/officeDocument/2006/customXml" ds:itemID="{f325d931-e3f6-4382-836e-aaeb98852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1484</Words>
  <Characters>1638</Characters>
  <Lines>15</Lines>
  <Paragraphs>4</Paragraphs>
  <TotalTime>165</TotalTime>
  <ScaleCrop>false</ScaleCrop>
  <LinksUpToDate>false</LinksUpToDate>
  <CharactersWithSpaces>1663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2023-01-02T09:54:00Z</dcterms:created>
  <dc:creator>Administrator</dc:creator>
  <cp:lastModifiedBy>地瓜地瓜</cp:lastModifiedBy>
  <cp:lastPrinted>2023-01-12T13:14:00Z</cp:lastPrinted>
  <dcterms:modified xsi:type="dcterms:W3CDTF">2026-03-23T20:19:17Z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CAC89CC978900F087D2DC169650EC78B_43</vt:lpwstr>
  </property>
  <property fmtid="{D5CDD505-2E9C-101B-9397-08002B2CF9AE}" pid="4" name="KSOTemplateDocerSaveRecord">
    <vt:lpwstr>eyJoZGlkIjoiOTk3ZmZjMDE2NmZhOGE1N2QxYTBiOGQyNWMzNzRmM2EiLCJ1c2VySWQiOiIxMTU2NDYxMzk2In0=</vt:lpwstr>
  </property>
</Properties>
</file>