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BFE2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PingFang SC Regular" w:hAnsi="PingFang SC Regular" w:eastAsia="PingFang SC Regular" w:cs="PingFang SC Regular"/>
          <w:color w:val="333333"/>
          <w:sz w:val="96"/>
          <w:szCs w:val="96"/>
        </w:rPr>
      </w:pPr>
    </w:p>
    <w:p w14:paraId="4B9231A2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PingFang SC Regular" w:hAnsi="PingFang SC Regular" w:eastAsia="PingFang SC Regular" w:cs="PingFang SC Regular"/>
          <w:color w:val="333333"/>
          <w:sz w:val="96"/>
          <w:szCs w:val="96"/>
        </w:rPr>
      </w:pPr>
    </w:p>
    <w:p w14:paraId="7A35D09F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PingFang SC Regular" w:hAnsi="PingFang SC Regular" w:eastAsia="PingFang SC Regular" w:cs="PingFang SC Regular"/>
          <w:color w:val="333333"/>
          <w:sz w:val="220"/>
          <w:szCs w:val="220"/>
        </w:rPr>
      </w:pPr>
      <w:r>
        <w:rPr>
          <w:rFonts w:hint="eastAsia" w:ascii="PingFang SC Regular" w:hAnsi="PingFang SC Regular" w:eastAsia="PingFang SC Regular" w:cs="PingFang SC Regular"/>
          <w:color w:val="333333"/>
          <w:sz w:val="220"/>
          <w:szCs w:val="220"/>
        </w:rPr>
        <w:t>招</w:t>
      </w:r>
    </w:p>
    <w:p w14:paraId="6E70C0B3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PingFang SC Regular" w:hAnsi="PingFang SC Regular" w:eastAsia="PingFang SC Regular" w:cs="PingFang SC Regular"/>
          <w:color w:val="333333"/>
          <w:sz w:val="220"/>
          <w:szCs w:val="220"/>
        </w:rPr>
      </w:pPr>
      <w:r>
        <w:rPr>
          <w:rFonts w:hint="eastAsia" w:ascii="PingFang SC Regular" w:hAnsi="PingFang SC Regular" w:eastAsia="PingFang SC Regular" w:cs="PingFang SC Regular"/>
          <w:color w:val="333333"/>
          <w:sz w:val="220"/>
          <w:szCs w:val="220"/>
        </w:rPr>
        <w:t>标</w:t>
      </w:r>
    </w:p>
    <w:p w14:paraId="19B7AE2D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PingFang SC Regular" w:hAnsi="PingFang SC Regular" w:eastAsia="PingFang SC Regular" w:cs="PingFang SC Regular"/>
          <w:color w:val="333333"/>
          <w:sz w:val="27"/>
          <w:szCs w:val="27"/>
        </w:rPr>
      </w:pPr>
      <w:r>
        <w:rPr>
          <w:rFonts w:hint="eastAsia" w:ascii="PingFang SC Regular" w:hAnsi="PingFang SC Regular" w:eastAsia="PingFang SC Regular" w:cs="PingFang SC Regular"/>
          <w:color w:val="333333"/>
          <w:sz w:val="220"/>
          <w:szCs w:val="220"/>
        </w:rPr>
        <w:t>书</w:t>
      </w:r>
    </w:p>
    <w:p w14:paraId="70BED4D6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3A87873C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6A400FDF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3FC67D12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703CE21B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2D24F881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2369EA50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74E2985F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5BC14DEC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5D8E8E58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1B8AA0EC">
      <w:pPr>
        <w:ind w:leftChars="100"/>
        <w:rPr>
          <w:rFonts w:hint="eastAsia" w:ascii="PingFang SC Regular" w:hAnsi="PingFang SC Regular" w:eastAsia="PingFang SC Regular" w:cs="PingFang SC Regular"/>
          <w:lang w:val="en-US" w:eastAsia="zh-CN"/>
        </w:rPr>
      </w:pPr>
    </w:p>
    <w:p w14:paraId="512F1105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邀标文件编号：LIMA -ZJ-2026(ZB009)</w:t>
      </w:r>
    </w:p>
    <w:p w14:paraId="0B85D2D0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邀标单位：立马车业集团有限公司</w:t>
      </w:r>
    </w:p>
    <w:p w14:paraId="3B576860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地 址：浙江省台州市椒江区滨海工业区甲南大道立马车业集团</w:t>
      </w:r>
    </w:p>
    <w:p w14:paraId="75F7F739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发布日期：2026 年 04 月 10 日</w:t>
      </w:r>
    </w:p>
    <w:p w14:paraId="7E4ACA1F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投标截止时间：2026 年 04 月 26 日 17:00</w:t>
      </w:r>
    </w:p>
    <w:p w14:paraId="7DC8A329">
      <w:pPr>
        <w:ind w:leftChars="100"/>
        <w:rPr>
          <w:rFonts w:hint="default" w:ascii="PingFang SC Regular" w:hAnsi="PingFang SC Regular" w:eastAsia="PingFang SC Regular" w:cs="PingFang SC Regular"/>
          <w:lang w:val="en-US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唱标 / 开标时间：2026 年 04 月 27 日 (具体时间双方协商确认）</w:t>
      </w:r>
    </w:p>
    <w:p w14:paraId="7AF8E2BD">
      <w:pPr>
        <w:ind w:leftChars="1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联系人：管丽丽， 联系电话：17857277387， 邮箱：1203921583@qq.com</w:t>
      </w:r>
    </w:p>
    <w:p w14:paraId="1415F3E4">
      <w:pPr>
        <w:pStyle w:val="4"/>
        <w:shd w:val="clear" w:color="auto" w:fill="FFFFFF"/>
        <w:spacing w:before="0" w:beforeAutospacing="0" w:after="0" w:afterAutospacing="0"/>
        <w:rPr>
          <w:rFonts w:hint="eastAsia" w:ascii="PingFang SC Regular" w:hAnsi="PingFang SC Regular" w:eastAsia="PingFang SC Regular" w:cs="PingFang SC Regular"/>
          <w:color w:val="333333"/>
          <w:sz w:val="27"/>
          <w:szCs w:val="27"/>
        </w:rPr>
      </w:pPr>
    </w:p>
    <w:p w14:paraId="46CA125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PingFang SC Regular" w:hAnsi="PingFang SC Regular" w:eastAsia="PingFang SC Regular" w:cs="PingFang SC Regular"/>
          <w:b/>
          <w:bCs/>
          <w:color w:val="333333"/>
          <w:sz w:val="32"/>
          <w:szCs w:val="32"/>
        </w:rPr>
      </w:pPr>
      <w:r>
        <w:rPr>
          <w:rFonts w:hint="eastAsia" w:ascii="PingFang SC Regular" w:hAnsi="PingFang SC Regular" w:eastAsia="PingFang SC Regular" w:cs="PingFang SC Regular"/>
          <w:b/>
          <w:bCs/>
          <w:color w:val="333333"/>
          <w:sz w:val="32"/>
          <w:szCs w:val="32"/>
        </w:rPr>
        <w:t>邀标邀请书</w:t>
      </w:r>
    </w:p>
    <w:p w14:paraId="428807DA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立马车业集团有限公司是专业从事新能源交通工具产品研发、生产制造、应用推广于一体的大型集团化高新技术企业。公司成立于 2003 年，是国内知名的电动车整车生产制造商之一。</w:t>
      </w:r>
    </w:p>
    <w:p w14:paraId="40BE154B">
      <w:pPr>
        <w:ind w:leftChars="100" w:firstLine="420" w:firstLineChars="2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现针对2026 立马社区媒体投放项目进行定向邀请招标，本次投放以立马品牌焕新及爆品渗透为核心，依托社区媒体精准触达各区域目标消费群体，强化品牌区域市场认知，提升新品曝光与终端转化。现邀请具备社区媒体投放运营、新能源 / 交通工具行业区域营销经验的合格单位参加投标，有关事项如下：</w:t>
      </w:r>
    </w:p>
    <w:p w14:paraId="07CE28B1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邀标项目名称：</w:t>
      </w:r>
      <w:r>
        <w:rPr>
          <w:rFonts w:hint="eastAsia" w:ascii="PingFang SC Regular" w:hAnsi="PingFang SC Regular" w:eastAsia="PingFang SC Regular" w:cs="PingFang SC Regular"/>
          <w:b w:val="0"/>
          <w:bCs w:val="0"/>
          <w:lang w:val="en-US" w:eastAsia="zh-CN"/>
        </w:rPr>
        <w:t>2026立马社区媒体投放项目</w:t>
      </w:r>
    </w:p>
    <w:p w14:paraId="6E0D9AE5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项目执行周期：</w:t>
      </w:r>
      <w:r>
        <w:rPr>
          <w:rFonts w:hint="eastAsia" w:ascii="PingFang SC Regular" w:hAnsi="PingFang SC Regular" w:eastAsia="PingFang SC Regular" w:cs="PingFang SC Regular"/>
          <w:lang w:val="en-US" w:eastAsia="zh-CN"/>
        </w:rPr>
        <w:t>2026年6月-10月（具体执行周期双方协商确认）</w:t>
      </w:r>
    </w:p>
    <w:p w14:paraId="651333BD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项目投放区域：</w:t>
      </w:r>
      <w:r>
        <w:rPr>
          <w:rFonts w:hint="eastAsia" w:ascii="PingFang SC Regular" w:hAnsi="PingFang SC Regular" w:eastAsia="PingFang SC Regular" w:cs="PingFang SC Regular"/>
          <w:lang w:val="en-US" w:eastAsia="zh-CN"/>
        </w:rPr>
        <w:t>安徽、广西、福建、河南、贵州、湖北、湖南、江苏、江西、陕西、四川、浙江、河北、山西、东北（沈阳）、广东</w:t>
      </w:r>
    </w:p>
    <w:p w14:paraId="77C81476">
      <w:pPr>
        <w:numPr>
          <w:ilvl w:val="0"/>
          <w:numId w:val="0"/>
        </w:numPr>
        <w:ind w:leftChars="3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drawing>
          <wp:inline distT="0" distB="0" distL="114300" distR="114300">
            <wp:extent cx="868680" cy="2136140"/>
            <wp:effectExtent l="0" t="0" r="20320" b="22860"/>
            <wp:docPr id="1" name="图片 1" descr="IMG_4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73"/>
                    <pic:cNvPicPr>
                      <a:picLocks noChangeAspect="1"/>
                    </pic:cNvPicPr>
                  </pic:nvPicPr>
                  <pic:blipFill>
                    <a:blip r:embed="rId4"/>
                    <a:srcRect t="453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3F43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项目合作规模：</w:t>
      </w:r>
      <w:r>
        <w:rPr>
          <w:rFonts w:hint="eastAsia" w:ascii="PingFang SC Regular" w:hAnsi="PingFang SC Regular" w:eastAsia="PingFang SC Regular" w:cs="PingFang SC Regular"/>
          <w:b w:val="0"/>
          <w:bCs w:val="0"/>
          <w:lang w:val="en-US" w:eastAsia="zh-CN"/>
        </w:rPr>
        <w:t>实现上述 38个区域社区媒体全覆盖，适配各区域不同社区类型（高端社区、刚需社区、老旧社区等）的投放需求，打造区域化、差异化投放体。</w:t>
      </w:r>
    </w:p>
    <w:p w14:paraId="7D407956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  <w:b/>
          <w:bCs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项目总预算：</w:t>
      </w:r>
      <w:r>
        <w:rPr>
          <w:rFonts w:hint="eastAsia" w:ascii="PingFang SC Regular" w:hAnsi="PingFang SC Regular" w:eastAsia="PingFang SC Regular" w:cs="PingFang SC Regular"/>
          <w:lang w:val="en-US" w:eastAsia="zh-CN"/>
        </w:rPr>
        <w:t>人民币300 万元（含税）</w:t>
      </w:r>
    </w:p>
    <w:p w14:paraId="771ECEC7">
      <w:pPr>
        <w:numPr>
          <w:ilvl w:val="0"/>
          <w:numId w:val="2"/>
        </w:numPr>
        <w:ind w:leftChars="100" w:firstLine="422" w:firstLineChars="200"/>
        <w:rPr>
          <w:rFonts w:hint="eastAsia" w:ascii="PingFang SC Regular" w:hAnsi="PingFang SC Regular" w:eastAsia="PingFang SC Regular" w:cs="PingFang SC Regular"/>
          <w:b/>
          <w:bCs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项目内容呈现：</w:t>
      </w:r>
    </w:p>
    <w:p w14:paraId="26A39BA1">
      <w:pPr>
        <w:numPr>
          <w:ilvl w:val="0"/>
          <w:numId w:val="0"/>
        </w:numPr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打造全区域一体化的社区媒体投放方案，完成各区域精准投放运营，实现立马品牌焕新、爆品推广核心信息在各区域社区场景的广泛触达与高效传播转化，兼顾投放素材区域适配性、媒体点位精准性、流量转化性，匹配立马区域市场品牌推广与产品销售的定位。</w:t>
      </w:r>
    </w:p>
    <w:p w14:paraId="27FC7486">
      <w:pPr>
        <w:numPr>
          <w:ilvl w:val="0"/>
          <w:numId w:val="0"/>
        </w:numPr>
        <w:ind w:firstLine="632" w:firstLineChars="300"/>
        <w:rPr>
          <w:rFonts w:hint="eastAsia" w:ascii="PingFang SC Regular" w:hAnsi="PingFang SC Regular" w:eastAsia="PingFang SC Regular" w:cs="PingFang SC Regular"/>
          <w:b/>
          <w:bCs/>
        </w:rPr>
      </w:pPr>
      <w:r>
        <w:rPr>
          <w:rFonts w:hint="eastAsia" w:ascii="PingFang SC Regular" w:hAnsi="PingFang SC Regular" w:eastAsia="PingFang SC Regular" w:cs="PingFang SC Regular"/>
          <w:b/>
          <w:bCs w:val="0"/>
          <w:lang w:val="en-US" w:eastAsia="zh-CN"/>
        </w:rPr>
        <w:t>7.</w:t>
      </w:r>
      <w:r>
        <w:rPr>
          <w:rFonts w:hint="eastAsia" w:ascii="PingFang SC Regular" w:hAnsi="PingFang SC Regular" w:eastAsia="PingFang SC Regular" w:cs="PingFang SC Regular"/>
          <w:b/>
          <w:bCs/>
        </w:rPr>
        <w:t>邀标文件获取方式</w:t>
      </w:r>
    </w:p>
    <w:p w14:paraId="0733C987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7.1线下：浙江省台州市椒江区滨海工业区甲南大道立马车业集团品牌部</w:t>
      </w:r>
    </w:p>
    <w:p w14:paraId="7E0CE350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b/>
          <w:bCs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7.2线上：联系邀标方联系人获取电子版邀标文件</w:t>
      </w:r>
    </w:p>
    <w:p w14:paraId="7F1EF42E">
      <w:pPr>
        <w:numPr>
          <w:ilvl w:val="0"/>
          <w:numId w:val="0"/>
        </w:numPr>
        <w:ind w:leftChars="300"/>
        <w:rPr>
          <w:rFonts w:hint="eastAsia" w:ascii="PingFang SC Regular" w:hAnsi="PingFang SC Regular" w:eastAsia="PingFang SC Regular" w:cs="PingFang SC Regular"/>
          <w:b/>
          <w:bCs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8.时间节点：</w:t>
      </w:r>
    </w:p>
    <w:p w14:paraId="712DE7BC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8.1投标人参加邀标确认：2026 年 04 月 21 日 13:00 前通过邮件 + 书面回函双重确认（回函模板见附件 1）</w:t>
      </w:r>
    </w:p>
    <w:p w14:paraId="5986BCBE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8.2投标文件递交截止时间：2026 年04月 26 日 17:00 前（逾期递交视为无效投标）</w:t>
      </w:r>
    </w:p>
    <w:p w14:paraId="6ACE5FF9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8.3唱标 / 开标时间：2026 年 04 月 27 日 (具体时间双方协商确认）</w:t>
      </w:r>
    </w:p>
    <w:p w14:paraId="3AA15621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8.4投标 / 开标地点：立马车业集团会议室，纸质投标文件可邮寄至邀标单位地址</w:t>
      </w:r>
    </w:p>
    <w:p w14:paraId="69157906">
      <w:pPr>
        <w:numPr>
          <w:ilvl w:val="0"/>
          <w:numId w:val="0"/>
        </w:numPr>
        <w:ind w:leftChars="3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b/>
          <w:bCs/>
          <w:lang w:val="en-US" w:eastAsia="zh-CN"/>
        </w:rPr>
        <w:t>9.投标文件递交要求：</w:t>
      </w:r>
      <w:bookmarkStart w:id="36" w:name="_GoBack"/>
      <w:r>
        <w:rPr>
          <w:rFonts w:hint="eastAsia" w:ascii="PingFang SC Regular" w:hAnsi="PingFang SC Regular" w:eastAsia="PingFang SC Regular" w:cs="PingFang SC Regular"/>
          <w:lang w:val="en-US" w:eastAsia="zh-CN"/>
        </w:rPr>
        <w:t>电子版或纸质版一式伍份（正本壹份，副本肆份），纸质版与电子版内容一致。</w:t>
      </w:r>
      <w:bookmarkEnd w:id="36"/>
    </w:p>
    <w:p w14:paraId="6FE8B9A9">
      <w:pPr>
        <w:pStyle w:val="4"/>
        <w:shd w:val="clear" w:color="auto" w:fill="FFFFFF"/>
        <w:spacing w:before="0" w:beforeAutospacing="0" w:after="0" w:afterAutospacing="0"/>
        <w:ind w:left="480"/>
        <w:rPr>
          <w:rFonts w:hint="eastAsia" w:ascii="PingFang SC Regular" w:hAnsi="PingFang SC Regular" w:eastAsia="PingFang SC Regular" w:cs="PingFang SC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DF12D5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PingFang SC Regular" w:hAnsi="PingFang SC Regular" w:eastAsia="PingFang SC Regular" w:cs="PingFang SC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PingFang SC Regular" w:hAnsi="PingFang SC Regular" w:eastAsia="PingFang SC Regular" w:cs="PingFang SC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项目核心需求细则</w:t>
      </w:r>
    </w:p>
    <w:p w14:paraId="50A53396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0" w:name="heading_3"/>
      <w:r>
        <w:rPr>
          <w:rFonts w:hint="eastAsia" w:ascii="PingFang SC Regular" w:hAnsi="PingFang SC Regular" w:eastAsia="PingFang SC Regular" w:cs="PingFang SC Regular"/>
          <w:b/>
          <w:sz w:val="32"/>
        </w:rPr>
        <w:t>1 投放整体运营需求</w:t>
      </w:r>
      <w:bookmarkEnd w:id="0"/>
    </w:p>
    <w:p w14:paraId="2520FD0C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1.1 投放覆盖与周期：保障在安徽、广西等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>个指定区域实现社区媒体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基本</w:t>
      </w:r>
      <w:r>
        <w:rPr>
          <w:rFonts w:hint="eastAsia" w:ascii="PingFang SC Regular" w:hAnsi="PingFang SC Regular" w:eastAsia="PingFang SC Regular" w:cs="PingFang SC Regular"/>
          <w:sz w:val="22"/>
        </w:rPr>
        <w:t>覆盖投放，按约定周期完成全流程投放执行，实现各区域投放数据实时汇总、投放进度同步更新。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1.2 现场投放执行：适配各区域不同社区类型的投放特点，完成各区域社区媒体点位勘察、筛选、搭建与调试，确保投放素材清晰展示、媒体设备正常运行，无漏投、错投、设备故障等问题，精准覆盖社区出入口、电梯间、休闲区等核心场景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1.3 投放内容策划：结合各区域消费习惯、地域文化、市场特点，策划区域化差异化的投放内容，包含品牌形象素材、产品卖点素材、促销活动素材等，避免内容同质化，提升目标受众关注度。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1.4 投放精准运营：完成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区域的精细化投放运营，制定区域化投放策略（含点位选择、人群定向、时段投放、费用分配、素材适配等），聚焦各区域电动车核心消费人群，实现曝光量、触达量、互动量、终端引流等量化提升，投放数据实时监测并同步邀标方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1.5 技术与执行保障：配备专业的区域投放运营团队，制定投放应急预案（含设备故障、素材更换、区域舆情、点位调整等），确保全周期投放全程稳定，故障响应时间不超过 1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小时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，故障解决时间不超过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24小时</w:t>
      </w:r>
      <w:r>
        <w:rPr>
          <w:rFonts w:hint="eastAsia" w:ascii="PingFang SC Regular" w:hAnsi="PingFang SC Regular" w:eastAsia="PingFang SC Regular" w:cs="PingFang SC Regular"/>
          <w:sz w:val="22"/>
        </w:rPr>
        <w:t>，区域投放问题 24 小时内完成处理。</w:t>
      </w:r>
    </w:p>
    <w:p w14:paraId="21C6F04E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" w:name="heading_4"/>
      <w:r>
        <w:rPr>
          <w:rFonts w:hint="eastAsia" w:ascii="PingFang SC Regular" w:hAnsi="PingFang SC Regular" w:eastAsia="PingFang SC Regular" w:cs="PingFang SC Regular"/>
          <w:b/>
          <w:sz w:val="32"/>
        </w:rPr>
        <w:t>2 投放物料与人员需求</w:t>
      </w:r>
      <w:bookmarkEnd w:id="1"/>
    </w:p>
    <w:p w14:paraId="5A4254CB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2.1 物料配置：需提供全套社区媒体投放物料与设备，包含各类规格海报、展架、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软膜</w:t>
      </w:r>
      <w:r>
        <w:rPr>
          <w:rFonts w:hint="eastAsia" w:ascii="PingFang SC Regular" w:hAnsi="PingFang SC Regular" w:eastAsia="PingFang SC Regular" w:cs="PingFang SC Regular"/>
          <w:sz w:val="22"/>
        </w:rPr>
        <w:t>灯箱、电子屏等投放素材，同时配备物料运输、安装、维护设备及备用物料，所有物料与设备需符合国家相关标准，适配各区域不同社区媒体的投放需求，物料与设备清单需在投标文件中详细列明。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2.2 人员配置：配备完整的社区媒体投放运营团队，人员分工明确且均具备相关行业区域投放经验，至少包含：项目总负责人 1 名、区域运营经理不少于 2 名、素材设计专员不少于 1 名、点位执行专员不少于 3 名、数据监测专员不少于 1 名，团队成员简历及从业经验需在投标文件中提交，确保各区域投放执行、维护、对接工作高效开展。</w:t>
      </w:r>
    </w:p>
    <w:p w14:paraId="55E10690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" w:name="heading_5"/>
      <w:r>
        <w:rPr>
          <w:rFonts w:hint="eastAsia" w:ascii="PingFang SC Regular" w:hAnsi="PingFang SC Regular" w:eastAsia="PingFang SC Regular" w:cs="PingFang SC Regular"/>
          <w:b/>
          <w:sz w:val="32"/>
        </w:rPr>
        <w:t>3 投放内容与区域适配需求</w:t>
      </w:r>
      <w:bookmarkEnd w:id="2"/>
    </w:p>
    <w:p w14:paraId="29626383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 内容制作：提前制作全区域通用投放素材及各区域定制化投放素材（海报、短视频、灯箱内容等），素材需结合区域特点突出品牌与产品核心卖点，同时制作投放配套的终端引流素材（如优惠券、活动二维码等）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3.2 区域适配：针对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投放区域的地域文化、消费能力、电动车市场特点、社区类型进行精准分析，制定差异化的投放方案，包括点位密度、素材内容、投放时段、推广重点等，例如南方区域侧重雨天骑行功能、北方区域侧重续航与保暖功能，核心城市侧重品牌形象、三四线城市侧重产品性价比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3.3 内容品控：所有投放内容（含素材、文案、活动信息）需提前 3 个工作日提交邀标方审核，审核通过后方可上线；投放过程中需严格把控内容导向，杜绝违规、错误信息发布，确保品牌形象不受损害，同时根据区域舆情及时调整投放内容。</w:t>
      </w:r>
    </w:p>
    <w:p w14:paraId="7CBE62F7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" w:name="heading_6"/>
      <w:r>
        <w:rPr>
          <w:rFonts w:hint="eastAsia" w:ascii="PingFang SC Regular" w:hAnsi="PingFang SC Regular" w:eastAsia="PingFang SC Regular" w:cs="PingFang SC Regular"/>
          <w:b/>
          <w:sz w:val="32"/>
        </w:rPr>
        <w:t>4 数据复盘与反馈需求</w:t>
      </w:r>
      <w:bookmarkEnd w:id="3"/>
    </w:p>
    <w:p w14:paraId="01C1B92F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4.1 实时数据同步：投放过程中，每周向邀标方同步一次各区域核心投放数据（含各区域曝光量、触达人数、互动量、投放费用消耗、终端引流数据等），及时调整各区域投放策略与点位布局。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4.2 复盘报告提交：投放结束后 24 小时内，向邀标方提交投放速报（含各区域核心数据汇总、投放亮点与问题）；投放结束后 7 个工作日内，提交完整的投放复盘报告，包含：各区域详细数据（曝光量、触达率、互动率、终端到店量等）、投放费用明细及效果分析、各区域受众画像分析、不同社区类型投放效果对比、投放亮点与不足、区域市场优化建议等，所有数据需真实、可追溯。</w:t>
      </w:r>
    </w:p>
    <w:p w14:paraId="2AB6CE34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4" w:name="heading_7"/>
      <w:r>
        <w:rPr>
          <w:rFonts w:hint="eastAsia" w:ascii="PingFang SC Regular" w:hAnsi="PingFang SC Regular" w:eastAsia="PingFang SC Regular" w:cs="PingFang SC Regular"/>
          <w:b/>
          <w:sz w:val="32"/>
        </w:rPr>
        <w:t>5 全案整合需求</w:t>
      </w:r>
      <w:bookmarkEnd w:id="4"/>
    </w:p>
    <w:p w14:paraId="064CFE67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投标方需作为社区媒体投放项目总负责方，负责投放策划、点位筛选、物料制作、区域执行、数据监测、复盘优化全流程工作，与立马各区域市场团队无缝对接，提前完成各区域社区点位踩点、投放规划、流程对接，确保投放与各区域终端推广、线下活动协同开展，实现 “社区媒体投放 + 区域终端推广 + 线下活动引流” 的协同传播效果。</w:t>
      </w:r>
    </w:p>
    <w:p w14:paraId="701D5EFC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bookmarkStart w:id="5" w:name="heading_8"/>
      <w:r>
        <w:rPr>
          <w:rFonts w:hint="eastAsia" w:ascii="PingFang SC Regular" w:hAnsi="PingFang SC Regular" w:eastAsia="PingFang SC Regular" w:cs="PingFang SC Regular"/>
          <w:b/>
          <w:sz w:val="36"/>
        </w:rPr>
        <w:t>第 3 章 招标须知</w:t>
      </w:r>
      <w:bookmarkEnd w:id="5"/>
    </w:p>
    <w:p w14:paraId="39EB1096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6" w:name="heading_9"/>
      <w:r>
        <w:rPr>
          <w:rFonts w:hint="eastAsia" w:ascii="PingFang SC Regular" w:hAnsi="PingFang SC Regular" w:eastAsia="PingFang SC Regular" w:cs="PingFang SC Regular"/>
          <w:b/>
          <w:sz w:val="32"/>
        </w:rPr>
        <w:t>3.1 投标人资格</w:t>
      </w:r>
      <w:bookmarkEnd w:id="6"/>
    </w:p>
    <w:p w14:paraId="219DC02C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3.1.1 资本背景要求：投标人须为上市公司，或具备上市公司持股的资本背景（提供上市公司持股证明、企业股权架构图等有效证明材料，加盖公章）；</w:t>
      </w:r>
    </w:p>
    <w:p w14:paraId="60640795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3.1.2 注册资金要求：投标人营业执照登记的注册资本不低于 2000 万元人民币（实缴或认缴均可，提供营业执照副本原件扫描件 + 加盖公章复印件，原件备查）；</w:t>
      </w:r>
    </w:p>
    <w:p w14:paraId="5D2D6BFC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3.1.3 成立时间与经营记录：投标人注册成立时间满 3 年及以上，且近 3 年（2023-2026）在经营活动中无重大违法记录（提供 “国家企业信用信息公示系统” 无重大违法记录查询截图，及加盖公章的书面声明）；</w:t>
      </w:r>
    </w:p>
    <w:p w14:paraId="25DFAF1A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3.1.4 行业资质与经营范围：投标人须具备一级广告企业资质，营业执照经营范围包含广告设计、制作、代理、发布等核心类目，且具备对应投放地区的广告经营活动执行能力（提供一级广告企业资质证书、营业执照，均为有效期内，复印件加盖公章，原件备查）；</w:t>
      </w:r>
    </w:p>
    <w:p w14:paraId="623A0CA3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3.1.5 媒体授权资质：投标人须取得本次广告投放 38 个区域的社区媒体正式授权（道闸、门禁等核心媒体类型），授权文件有效期需覆盖项目执行周期（2026 年 6-10 月），提供授权方盖章的有效授权证明；</w:t>
      </w:r>
    </w:p>
    <w:p w14:paraId="6687465D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3.1.6 行业案例要求：投标人近 3 年（2023-2026）拥有服务电动车品牌的道闸、门禁社区媒体投放合作案例（提供项目执行报告、投放实景照片 / 视频、甲方验收证明，案例真实可追溯）；</w:t>
      </w:r>
    </w:p>
    <w:p w14:paraId="032AABF0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3.1.7 财务要求：投标人具有良好的商业信誉和健全的财务会计制度，能提供近 3 年（2023-2025）完整的财务审计报告（由正规会计师事务所出具完整的财务审计报告，复印件加盖公章，原件备查）；</w:t>
      </w:r>
    </w:p>
    <w:p w14:paraId="2DC608CF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3.1.8 基础运营资质：投标人须持有《广告经营许可证》（若涉及户外媒体投放，需提供投放所在地户外广告设置审批相关证明），所有资质均在有效期内；</w:t>
      </w:r>
    </w:p>
    <w:p w14:paraId="66477D8B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 xml:space="preserve">3.1.9 资源与执行要求：具备本次招标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个核心区域的直接社区媒体资源（非中介、非转包），提供与社区物业 / 媒体产权方的有效合作协议；本项目不接受联合体投标，不允许分包、转包、挂靠，需独立完成全案执行；</w:t>
      </w:r>
    </w:p>
    <w:p w14:paraId="0A6A57E7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3.1.10 信用要求：未被列入失信被执行人、重大税收违法失信主体、政府采购严重违法失信行为记录名单（提供官方平台查询截图，加盖公章）。</w:t>
      </w:r>
    </w:p>
    <w:p w14:paraId="68DAB35E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注：以上 3.1.1-3.1.7 为核心硬性资质要求，缺失任意一项、证明材料无效或未达标，均直接视为无效投标，不参与后续评审。</w:t>
      </w:r>
    </w:p>
    <w:p w14:paraId="5B76498C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7" w:name="heading_10"/>
      <w:r>
        <w:rPr>
          <w:rFonts w:hint="eastAsia" w:ascii="PingFang SC Regular" w:hAnsi="PingFang SC Regular" w:eastAsia="PingFang SC Regular" w:cs="PingFang SC Regular"/>
          <w:b/>
          <w:sz w:val="32"/>
        </w:rPr>
        <w:t>3.2 投标费用</w:t>
      </w:r>
      <w:bookmarkEnd w:id="7"/>
    </w:p>
    <w:p w14:paraId="1144F8BD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3.2.1 投标人应自行承担所有与编写和提交投标文件有关的费用，包括但不限于方案制作、资料打印、邮寄、差旅、答疑参与、各区域点位勘察等，不论投标结果如何，邀标人在任何情况下均无义务和责任承担该等费用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3.2.2 无论中标与否，投标人提交的所有投标资料（含方案、资质文件、案例、数据报告等）均不予退还，邀标方有权留存备案。</w:t>
      </w:r>
    </w:p>
    <w:p w14:paraId="7B58166A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8" w:name="heading_11"/>
      <w:r>
        <w:rPr>
          <w:rFonts w:hint="eastAsia" w:ascii="PingFang SC Regular" w:hAnsi="PingFang SC Regular" w:eastAsia="PingFang SC Regular" w:cs="PingFang SC Regular"/>
          <w:b/>
          <w:sz w:val="32"/>
        </w:rPr>
        <w:t>3.3 邀标文件</w:t>
      </w:r>
      <w:bookmarkEnd w:id="8"/>
    </w:p>
    <w:p w14:paraId="3FFAB47E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3.3.1 投标人应认真阅读本邀标文件中所有的事项、条款、规范及需求要求，若未按照邀标文件要求提交全部资料，或投标书未对邀标文件做出实质性响应，该投标将被拒绝，相关风险由投标人自行承担；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3.3.2 投标人对邀标文件内容有疑问的，需在答疑时间内以书面形式向邀标方提出，口头疑问不予受理。</w:t>
      </w:r>
    </w:p>
    <w:p w14:paraId="3E2B573D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9" w:name="heading_12"/>
      <w:r>
        <w:rPr>
          <w:rFonts w:hint="eastAsia" w:ascii="PingFang SC Regular" w:hAnsi="PingFang SC Regular" w:eastAsia="PingFang SC Regular" w:cs="PingFang SC Regular"/>
          <w:b/>
          <w:sz w:val="32"/>
        </w:rPr>
        <w:t>3.4 邀标文件的修改</w:t>
      </w:r>
      <w:bookmarkEnd w:id="9"/>
    </w:p>
    <w:p w14:paraId="0A8B7EB3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3.4.1 在投标截止日期前的任何时候，邀标方可主动或在解答投标人问题时对邀标文件进行修改；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3.4.2 邀标文件的修改将以邮件 + 盖章书面通知的形式，发送至所有确认投标的投标人，修改内容自通知发出之日起生效，对所有投标人均具有法律约束力；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3.4.3 若邀标文件修改内容影响投标文件编制，邀标方可根据实际情况顺延投标截止时间，并书面通知所有投标人。</w:t>
      </w:r>
    </w:p>
    <w:p w14:paraId="3A94BB75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0" w:name="heading_13"/>
      <w:r>
        <w:rPr>
          <w:rFonts w:hint="eastAsia" w:ascii="PingFang SC Regular" w:hAnsi="PingFang SC Regular" w:eastAsia="PingFang SC Regular" w:cs="PingFang SC Regular"/>
          <w:b/>
          <w:sz w:val="32"/>
        </w:rPr>
        <w:t>3.5 投标文件编制要求</w:t>
      </w:r>
      <w:bookmarkEnd w:id="10"/>
    </w:p>
    <w:p w14:paraId="3FA8225E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3.5.1 投标文件需按本邀标文件要求编制，纸质版一式伍份（正本壹份，副本肆份），电子版壹份（U 盘 / 光盘存储，含全套投标文件 PDF 版与可编辑版），纸质版与电子版内容需保持完全一致；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3.5.2 投标文件需采用 A4 纸张打印，胶装成册，编制目录并标注页码，便于查阅；正本需加盖投标人公章并由法定代表人 / 授权委托人签字，副本可加盖公章复印件；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3.5.3 投标文件需按商务文件 - 技术方案文件 - 报价文件 - 附件文件的固定顺序编制，不得随意调整；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3.5.4 投标文件需采用密封包装，密封袋需使用邀标方指定样式（或自封袋），并在密封袋上清晰标注：邀标文件编号、项目名称、投标人名称、“正本 / 副本 / 电子版”，同时在密封处加盖投标人公章；未密封、密封不合格或标注信息不清晰的投标文件，视为无效投标。</w:t>
      </w:r>
    </w:p>
    <w:p w14:paraId="733067DC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1" w:name="heading_14"/>
      <w:r>
        <w:rPr>
          <w:rFonts w:hint="eastAsia" w:ascii="PingFang SC Regular" w:hAnsi="PingFang SC Regular" w:eastAsia="PingFang SC Regular" w:cs="PingFang SC Regular"/>
          <w:b/>
          <w:sz w:val="32"/>
        </w:rPr>
        <w:t>3.6 废标条款</w:t>
      </w:r>
      <w:bookmarkEnd w:id="11"/>
    </w:p>
    <w:p w14:paraId="17FE08EA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投标人存在下列情形之一的，其投标将被视为废标，邀标方有权直接拒绝，不参与后续评标：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① 未在投标截止时间前递交 / 邮寄投标文件，或投标文件逾期送达的；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② 投标文件未按本文件要求编制、密封、签字、盖章的；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③ 投标人不具备本文件规定的投标资格，或资质文件弄虚作假、缺失的；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④ 投标总报价高于项目总预算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300</w:t>
      </w:r>
      <w:r>
        <w:rPr>
          <w:rFonts w:hint="eastAsia" w:ascii="PingFang SC Regular" w:hAnsi="PingFang SC Regular" w:eastAsia="PingFang SC Regular" w:cs="PingFang SC Regular"/>
          <w:sz w:val="22"/>
        </w:rPr>
        <w:t>万元；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⑤ 投标书未对邀标文件做出实质性响应，或明确拒绝履行本文件条款的；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⑥ 同一投标人提交两个及以上不同的投标方案或投标报价的；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⑦ 存在串通投标、弄虚作假、行贿等违法违规行为的；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⑧ 投标文件字迹模糊、无法辨认，或存在涂改、删减未加盖公章的。</w:t>
      </w:r>
    </w:p>
    <w:p w14:paraId="514C2F39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2" w:name="heading_15"/>
      <w:r>
        <w:rPr>
          <w:rFonts w:hint="eastAsia" w:ascii="PingFang SC Regular" w:hAnsi="PingFang SC Regular" w:eastAsia="PingFang SC Regular" w:cs="PingFang SC Regular"/>
          <w:b/>
          <w:sz w:val="32"/>
        </w:rPr>
        <w:t>3.7 质疑与投诉</w:t>
      </w:r>
      <w:bookmarkEnd w:id="12"/>
    </w:p>
    <w:p w14:paraId="30C00B5F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3.7.1 投标人对邀标文件、评标结果有异议的，可在规定时间内以书面形式向邀标方提出质疑，质疑函需加盖投标人公章并详细说明理由，附相关证明材料；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3.7.2 邀标方在收到质疑函后 3 个工作日内，以书面形式予以回复；若投标人对回复不满意，可向邀标方上级主管部门提出投诉；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3.7.3 质疑与投诉均需以书面形式提出，口头质疑、投诉不予受理；投标人恶意质疑、投诉的，邀标方有权取消其投标 / 中标资格。</w:t>
      </w:r>
    </w:p>
    <w:p w14:paraId="135A5286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bookmarkStart w:id="13" w:name="heading_16"/>
      <w:r>
        <w:rPr>
          <w:rFonts w:hint="eastAsia" w:ascii="PingFang SC Regular" w:hAnsi="PingFang SC Regular" w:eastAsia="PingFang SC Regular" w:cs="PingFang SC Regular"/>
          <w:b/>
          <w:sz w:val="36"/>
        </w:rPr>
        <w:t>第 4 章 投标报价与标书内容</w:t>
      </w:r>
      <w:bookmarkEnd w:id="13"/>
    </w:p>
    <w:p w14:paraId="4A7E6D65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4" w:name="heading_17"/>
      <w:r>
        <w:rPr>
          <w:rFonts w:hint="eastAsia" w:ascii="PingFang SC Regular" w:hAnsi="PingFang SC Regular" w:eastAsia="PingFang SC Regular" w:cs="PingFang SC Regular"/>
          <w:b/>
          <w:sz w:val="32"/>
        </w:rPr>
        <w:t>4.1 投标报价</w:t>
      </w:r>
      <w:bookmarkEnd w:id="14"/>
    </w:p>
    <w:p w14:paraId="35EF1589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4.1.1 投标报价以人民币为唯一计价单位，报价为含税全包价（含增值税、策划费、物料费、设备费、人员费、媒体投放费、素材制作费、技术服务费、区域执行费等所有相关费用）；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4.1.2 本次投标总报价不得高于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300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万元人民币，超出项目总预算的投标视为无效投标；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4.1.3 投标人投标报价表中，列明各费用项下的明细列支依据（如各区域投放费用分配、物料清单及单价、人员费用、点位费用等），每个方案仅允许有一个报价，任何有选择的报价将不予接受；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4.1.4 投标报价为固定总价，中标后不得因任何原因（如媒体点位费率调整、物料成本增加、人工成本增加、区域执行难度变化等）调整报价，邀标方无额外增补预算，所有后续整改、优化费用均由中标方承担；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4.1.5 媒体投放费用专款专用，中标方需按投标方案执行各区域投放，不得擅自截留、挪用，投放费用明细需在投放复盘报告中按区域详细列明，接受邀标方核查。</w:t>
      </w:r>
    </w:p>
    <w:p w14:paraId="110579C8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15" w:name="heading_18"/>
      <w:r>
        <w:rPr>
          <w:rFonts w:hint="eastAsia" w:ascii="PingFang SC Regular" w:hAnsi="PingFang SC Regular" w:eastAsia="PingFang SC Regular" w:cs="PingFang SC Regular"/>
          <w:b/>
          <w:sz w:val="32"/>
        </w:rPr>
        <w:t>4.2 投标书核心内容</w:t>
      </w:r>
      <w:bookmarkEnd w:id="15"/>
    </w:p>
    <w:p w14:paraId="12972AAA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投标人编写的投标书需包含以下四部分核心内容，缺一不可，缺失任何一部分将视为非实质性响应，予以拒绝：</w:t>
      </w:r>
    </w:p>
    <w:p w14:paraId="53AB9F02">
      <w:pPr>
        <w:spacing w:before="300" w:after="120" w:line="288" w:lineRule="auto"/>
        <w:ind w:left="0"/>
        <w:jc w:val="left"/>
        <w:outlineLvl w:val="2"/>
        <w:rPr>
          <w:rFonts w:hint="eastAsia" w:ascii="PingFang SC Regular" w:hAnsi="PingFang SC Regular" w:eastAsia="PingFang SC Regular" w:cs="PingFang SC Regular"/>
        </w:rPr>
      </w:pPr>
      <w:bookmarkStart w:id="16" w:name="heading_19"/>
      <w:r>
        <w:rPr>
          <w:rFonts w:hint="eastAsia" w:ascii="PingFang SC Regular" w:hAnsi="PingFang SC Regular" w:eastAsia="PingFang SC Regular" w:cs="PingFang SC Regular"/>
          <w:b/>
          <w:sz w:val="30"/>
        </w:rPr>
        <w:t>4.2.1 商务文件</w:t>
      </w:r>
      <w:bookmarkEnd w:id="16"/>
    </w:p>
    <w:p w14:paraId="2B895941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① 投标函（需按附件 2 模板填写，加盖公章、签字）；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② 投标人资格证明文件（营业执照、媒体运营 / 广告投放 / 文化传媒相关资质等，复印件加盖公章）；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③ 资格声明文件（关于资格的声明函、投标人资格声明、法定代表人授权书，按附件 3-5 模板填写，加盖公章、签字）；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④ 投标人近 3 年同类项目案例证明（含社区媒体投放项目合同复印件、项目成果报告、投放数据复盘报告、现场投放照片 / 视频等），需重点提供新能源 / 交通工具行业及多区域投放案例；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⑤ 项目团队配置证明（团队成员简历、从业经验、相关专业资质、过往区域投放项目业绩等）；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⑥ 投标人无违法违规、无失信记录的书面声明（加盖公章）；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⑦ 投标人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个投放区域的媒体资源证明（含点位资源、媒体类型、合作证明等）。</w:t>
      </w:r>
    </w:p>
    <w:p w14:paraId="3FC48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⑧ 上市公司证明 / 上市公司持股资本背景证明（股权架构图、持股协议等）；</w:t>
      </w:r>
    </w:p>
    <w:p w14:paraId="6FF1E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⑨ 一级广告企业资质证书（有效期内）；</w:t>
      </w:r>
    </w:p>
    <w:p w14:paraId="767B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⑩ 本次投放区域社区媒体（道闸 / 门禁）授权证明（独家 / 一般授权需明确标注）；</w:t>
      </w:r>
    </w:p>
    <w:p w14:paraId="6582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⑪ 近 3 年服务电动车品牌的道闸、门禁投放案例全套证明材料（执行报告、验收证明等）；</w:t>
      </w:r>
    </w:p>
    <w:p w14:paraId="1544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⑫ 近 3 年（2023-2025）完整财务审计报告（会计师事务所出具）；</w:t>
      </w:r>
    </w:p>
    <w:p w14:paraId="2CDF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" w:lineRule="auto"/>
        <w:ind w:left="0"/>
        <w:jc w:val="left"/>
        <w:textAlignment w:val="auto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⑬ 注册资本≥2000 万的营业执照佐证材料、近 3 年无重大违法记录书面声明及官方查询截图。</w:t>
      </w:r>
    </w:p>
    <w:p w14:paraId="763BFEE7">
      <w:pPr>
        <w:spacing w:before="300" w:after="120" w:line="288" w:lineRule="auto"/>
        <w:ind w:left="0"/>
        <w:jc w:val="left"/>
        <w:outlineLvl w:val="2"/>
        <w:rPr>
          <w:rFonts w:hint="eastAsia" w:ascii="PingFang SC Regular" w:hAnsi="PingFang SC Regular" w:eastAsia="PingFang SC Regular" w:cs="PingFang SC Regular"/>
        </w:rPr>
      </w:pPr>
      <w:bookmarkStart w:id="17" w:name="heading_20"/>
      <w:r>
        <w:rPr>
          <w:rFonts w:hint="eastAsia" w:ascii="PingFang SC Regular" w:hAnsi="PingFang SC Regular" w:eastAsia="PingFang SC Regular" w:cs="PingFang SC Regular"/>
          <w:b/>
          <w:sz w:val="30"/>
        </w:rPr>
        <w:t>4.2.2 技术方案文件</w:t>
      </w:r>
      <w:bookmarkEnd w:id="17"/>
    </w:p>
    <w:p w14:paraId="178A6CF0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① 项目整体社区媒体投放运营方案（含核心策略、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个区域投放规划、点位筛选标准、物料清单、人员分工表、区域执行流程等）；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② 投放专项运营方案（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个区域分配、投放 KPI 设定、各区域人群定向策略、投放时段规划、素材区域适配计划、数据监测与优化策略）；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③ 投放执行保障方案（含物料制作与运输计划、各区域点位搭建与维护措施、各类突发故障应急预案、区域舆情应对方案）；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④ 项目 KPI 达成专项方案（含各区域投放曝光量、触达率、互动率、终端引流数、投放 ROI 等量化 KPI 的具体达成措施、数据监测方式）；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⑤ 与各区域市场团队的对接方案（含各区域对接人员、踩点计划、流程对接节点、现场协同工作机制、终端引流联动方案）。</w:t>
      </w:r>
    </w:p>
    <w:p w14:paraId="3D98D773">
      <w:pPr>
        <w:spacing w:before="300" w:after="120" w:line="288" w:lineRule="auto"/>
        <w:ind w:left="0"/>
        <w:jc w:val="left"/>
        <w:outlineLvl w:val="2"/>
        <w:rPr>
          <w:rFonts w:hint="eastAsia" w:ascii="PingFang SC Regular" w:hAnsi="PingFang SC Regular" w:eastAsia="PingFang SC Regular" w:cs="PingFang SC Regular"/>
        </w:rPr>
      </w:pPr>
      <w:bookmarkStart w:id="18" w:name="heading_21"/>
      <w:r>
        <w:rPr>
          <w:rFonts w:hint="eastAsia" w:ascii="PingFang SC Regular" w:hAnsi="PingFang SC Regular" w:eastAsia="PingFang SC Regular" w:cs="PingFang SC Regular"/>
          <w:b/>
          <w:sz w:val="30"/>
        </w:rPr>
        <w:t>4.2.3 报价文件</w:t>
      </w:r>
      <w:bookmarkEnd w:id="18"/>
    </w:p>
    <w:p w14:paraId="2094B9D6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① 投标报价表（加盖公章、签字），含总报价、媒体投放费用明细（按区域拆分）、投放运营费用明细；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② 报价说明（含费用列支依据、含税说明、税率、未包含费用说明等，加盖公章）。</w:t>
      </w:r>
    </w:p>
    <w:p w14:paraId="7A4CF78F">
      <w:pPr>
        <w:spacing w:before="300" w:after="120" w:line="288" w:lineRule="auto"/>
        <w:ind w:left="0"/>
        <w:jc w:val="left"/>
        <w:outlineLvl w:val="2"/>
        <w:rPr>
          <w:rFonts w:hint="eastAsia" w:ascii="PingFang SC Regular" w:hAnsi="PingFang SC Regular" w:eastAsia="PingFang SC Regular" w:cs="PingFang SC Regular"/>
        </w:rPr>
      </w:pPr>
      <w:bookmarkStart w:id="19" w:name="heading_22"/>
      <w:r>
        <w:rPr>
          <w:rFonts w:hint="eastAsia" w:ascii="PingFang SC Regular" w:hAnsi="PingFang SC Regular" w:eastAsia="PingFang SC Regular" w:cs="PingFang SC Regular"/>
          <w:b/>
          <w:sz w:val="30"/>
        </w:rPr>
        <w:t>4.2.4 附件文件</w:t>
      </w:r>
      <w:bookmarkEnd w:id="19"/>
    </w:p>
    <w:p w14:paraId="74CE8FA8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① 邀标确认函（按附件 1 模板填写，加盖公章、签字）；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② 本邀标文件要求的其他证明文件、补充材料（如物料检测报告、团队成员资质证书、区域媒体资源清单、过往项目投放数据截图等）。</w:t>
      </w:r>
    </w:p>
    <w:p w14:paraId="68139167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bookmarkStart w:id="20" w:name="heading_23"/>
      <w:r>
        <w:rPr>
          <w:rFonts w:hint="eastAsia" w:ascii="PingFang SC Regular" w:hAnsi="PingFang SC Regular" w:eastAsia="PingFang SC Regular" w:cs="PingFang SC Regular"/>
          <w:b/>
          <w:sz w:val="36"/>
        </w:rPr>
        <w:t>第 5 章 评标标准及办法</w:t>
      </w:r>
      <w:bookmarkEnd w:id="20"/>
    </w:p>
    <w:p w14:paraId="13C8BEFB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  <w:sz w:val="22"/>
        </w:rPr>
      </w:pPr>
      <w:bookmarkStart w:id="21" w:name="heading_24"/>
      <w:r>
        <w:rPr>
          <w:rFonts w:hint="eastAsia" w:ascii="PingFang SC Regular" w:hAnsi="PingFang SC Regular" w:eastAsia="PingFang SC Regular" w:cs="PingFang SC Regular"/>
          <w:sz w:val="22"/>
        </w:rPr>
        <w:t>本项目采用综合评分法评标，评标总分为 100 分，核心调整为资质分 40 分、报价分 60 分；评标委员会由邀标方品牌、采购、营销务等部门负责人组成，独立打分并计算平均分，按综合得分高低排序确定中标候选人；未通过资质符合性审查的投标文件，不参与后续评分。</w:t>
      </w:r>
    </w:p>
    <w:p w14:paraId="5B5F3578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b/>
          <w:sz w:val="32"/>
        </w:rPr>
        <w:t>5.1 详细评分细则</w:t>
      </w:r>
      <w:bookmarkEnd w:id="21"/>
    </w:p>
    <w:tbl>
      <w:tblPr>
        <w:tblStyle w:val="5"/>
        <w:tblW w:w="1104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2"/>
        <w:gridCol w:w="1772"/>
        <w:gridCol w:w="8084"/>
      </w:tblGrid>
      <w:tr w14:paraId="35912C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BC7DA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评分维度</w:t>
            </w: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4A9EB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分值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DBC12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具体评分细则</w:t>
            </w:r>
          </w:p>
        </w:tc>
      </w:tr>
      <w:tr w14:paraId="4DDA4C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4FED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资质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4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0 分）</w:t>
            </w: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49A60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资本背景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3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25442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宋体" w:cs="PingFang SC Regular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为上市公司，或具备上市公司持股资本背景，证明材料齐全得 3 分；无相关证明得 0 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3E71D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30D0C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84CE3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注册资金与成立时间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4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412C5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注册资本≥2000 万（2 分）+ 成立时间满 3 年且近 3 年无重大违法记录（2 分），两项均达标得 4 分；缺一项扣 2 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。</w:t>
            </w:r>
          </w:p>
        </w:tc>
      </w:tr>
      <w:tr w14:paraId="1FE404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FB53D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EFA45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一级广告企业资质与经营范围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8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3EE1D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具备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一级广告企业资质</w:t>
            </w:r>
            <w:r>
              <w:rPr>
                <w:rFonts w:ascii="宋体" w:hAnsi="宋体" w:eastAsia="宋体" w:cs="宋体"/>
                <w:sz w:val="24"/>
                <w:szCs w:val="24"/>
              </w:rPr>
              <w:t>（5 分）+ 经营范围含广告设计 / 制作 / 代理 / 发布核心类目（3 分），资质齐全、有效期内得 8 分；资质过期 / 缺失得 0 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。</w:t>
            </w:r>
          </w:p>
        </w:tc>
      </w:tr>
      <w:tr w14:paraId="022354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154B0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8EE29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媒体授权资质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（15 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12D70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取得本次投放城市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独家媒体授权</w:t>
            </w:r>
            <w:r>
              <w:rPr>
                <w:rFonts w:ascii="宋体" w:hAnsi="宋体" w:eastAsia="宋体" w:cs="宋体"/>
                <w:sz w:val="24"/>
                <w:szCs w:val="24"/>
              </w:rPr>
              <w:t>（道闸 / 门禁核心类型，覆盖全部 38 个区域）得 15 分；取得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一般代理资质</w:t>
            </w:r>
            <w:r>
              <w:rPr>
                <w:rFonts w:ascii="宋体" w:hAnsi="宋体" w:eastAsia="宋体" w:cs="宋体"/>
                <w:sz w:val="24"/>
                <w:szCs w:val="24"/>
              </w:rPr>
              <w:t>（覆盖全部 38 个区域）得 5 分；资质不齐全 / 未覆盖全区域 / 无授权得 0 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。</w:t>
            </w:r>
          </w:p>
        </w:tc>
      </w:tr>
      <w:tr w14:paraId="272C72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E53EB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47B8B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电动车行业案例（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5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49903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近 3 年有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服务电动车品牌的道闸、门禁投放案例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，案例材料完整、真实可追溯得 5 分；无对应案例 / 案例材料不全得 0 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。</w:t>
            </w:r>
          </w:p>
        </w:tc>
      </w:tr>
      <w:tr w14:paraId="08424A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FB80C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FF13D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财务状况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5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 xml:space="preserve"> 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8E3C6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提供近 3 年完整财务审计报告，报告显示财务状况良好、会计制度健全得 5 分；未提供 / 报告不完整得 0 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。</w:t>
            </w:r>
          </w:p>
        </w:tc>
      </w:tr>
      <w:tr w14:paraId="3356C2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8A28F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报价分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6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0 分）</w:t>
            </w:r>
          </w:p>
        </w:tc>
        <w:tc>
          <w:tcPr>
            <w:tcW w:w="17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380A5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报价合理性与完整性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br w:type="textWrapping"/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6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0 分）</w:t>
            </w:r>
          </w:p>
        </w:tc>
        <w:tc>
          <w:tcPr>
            <w:tcW w:w="8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B95FC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  <w:sz w:val="22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1. 以所有有效投标报价的最低报价为基准分（60 分），其他投标人报价得分计算公式：报价得分 = 60 -（投标人报价 - 最低报价）/ 最低报价 × 100分值保留 2 位小数，最低得 0 分；</w:t>
            </w:r>
          </w:p>
          <w:p w14:paraId="383D928E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  <w:sz w:val="22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 xml:space="preserve">2. 投标报价为含税全包价，不得高于项目总预算 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  <w:lang w:val="en-US" w:eastAsia="zh-CN"/>
              </w:rPr>
              <w:t>30</w:t>
            </w: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0 万元，超出则视为无效投标；</w:t>
            </w:r>
          </w:p>
          <w:p w14:paraId="2FBCB6C3">
            <w:pPr>
              <w:spacing w:before="120" w:after="120" w:line="288" w:lineRule="auto"/>
              <w:ind w:left="0"/>
              <w:jc w:val="left"/>
              <w:rPr>
                <w:rFonts w:hint="eastAsia" w:ascii="PingFang SC Regular" w:hAnsi="PingFang SC Regular" w:eastAsia="PingFang SC Regular" w:cs="PingFang SC Regular"/>
              </w:rPr>
            </w:pPr>
            <w:r>
              <w:rPr>
                <w:rFonts w:hint="eastAsia" w:ascii="PingFang SC Regular" w:hAnsi="PingFang SC Regular" w:eastAsia="PingFang SC Regular" w:cs="PingFang SC Regular"/>
                <w:sz w:val="22"/>
              </w:rPr>
              <w:t>3. 需按附件 6《投标报价表》列明各费用明细（按区域拆分媒体投放费、运营费等），未按要求拆分 / 明细缺失，本项直接得 0 分；</w:t>
            </w:r>
          </w:p>
        </w:tc>
      </w:tr>
    </w:tbl>
    <w:p w14:paraId="244C6964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2" w:name="heading_25"/>
      <w:r>
        <w:rPr>
          <w:rFonts w:hint="eastAsia" w:ascii="PingFang SC Regular" w:hAnsi="PingFang SC Regular" w:eastAsia="PingFang SC Regular" w:cs="PingFang SC Regular"/>
          <w:b/>
          <w:sz w:val="32"/>
        </w:rPr>
        <w:t>5.2 评标规则</w:t>
      </w:r>
      <w:bookmarkEnd w:id="22"/>
    </w:p>
    <w:p w14:paraId="5BF8974F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bookmarkStart w:id="23" w:name="heading_26"/>
      <w:r>
        <w:rPr>
          <w:rFonts w:hint="eastAsia" w:ascii="PingFang SC Regular" w:hAnsi="PingFang SC Regular" w:eastAsia="PingFang SC Regular" w:cs="PingFang SC Regular"/>
          <w:sz w:val="22"/>
        </w:rPr>
        <w:t>① 评标委员会首先对所有投标文件进行资质符合性审查，未满足 3.1.1-3.1.7 核心硬性资质要求的，直接视为无效投标，不参与后续评分；</w:t>
      </w:r>
    </w:p>
    <w:p w14:paraId="63FBDB96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② 对通过资质符合性审查的投标文件，按资质分、报价分细则独立打分，两项得分相加为投标人最终综合得分；</w:t>
      </w:r>
    </w:p>
    <w:p w14:paraId="557322F9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③ 按综合得分从高到低排序，确定 1 名中标候选人、2 名备选中标候选人；</w:t>
      </w:r>
    </w:p>
    <w:p w14:paraId="214A13AF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④ 若投标人综合得分相同，按资质分高低排序；若资质分仍相同，按投标报价从低到高排序；</w:t>
      </w:r>
    </w:p>
    <w:p w14:paraId="72F45CB1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⑤ 评标结果将在唱标结束后 3 个工作日内，以书面形式通知所有投标人；</w:t>
      </w:r>
    </w:p>
    <w:p w14:paraId="76C2ED82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sz w:val="22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⑥ 邀标方拥有本次评标工作的最终解释权。</w:t>
      </w:r>
    </w:p>
    <w:p w14:paraId="6AF18B05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b/>
          <w:sz w:val="36"/>
        </w:rPr>
        <w:t>第 6 章 项目考核与验收标准</w:t>
      </w:r>
      <w:bookmarkEnd w:id="23"/>
    </w:p>
    <w:p w14:paraId="53B3E9A9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本项目设置社区媒体投放运营量化 KPI 考核指标，投标方需在技术方案中明确各区域具体的达成措施；中标后，邀标方将对项目进行投放过程考核与项目整体验收，未达成 KPI 的将按本文件第七章违约责任处理。</w:t>
      </w:r>
    </w:p>
    <w:p w14:paraId="29CD9D0C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4" w:name="heading_27"/>
      <w:r>
        <w:rPr>
          <w:rFonts w:hint="eastAsia" w:ascii="PingFang SC Regular" w:hAnsi="PingFang SC Regular" w:eastAsia="PingFang SC Regular" w:cs="PingFang SC Regular"/>
          <w:b/>
          <w:sz w:val="32"/>
        </w:rPr>
        <w:t>6.1 核心考核 KPI（投标方需承诺达成，具体数值双方协商确认）</w:t>
      </w:r>
      <w:bookmarkEnd w:id="24"/>
    </w:p>
    <w:p w14:paraId="4EE13DB5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 xml:space="preserve">投放覆盖：成功在安徽、广西等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个指定区域完成社区媒体全覆盖投放，无区域漏投、点位错投；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数据指标：各区域累计曝光量、触达人数、互动率、终端引流数等量化数据达到投标方案承诺值，整体投放 ROI 达到承诺标准；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投放效果：媒体投放费用按投标方案完成各区域精准投放，无截留、挪用，各区域投放曝光量、触达率、互动率等量化数据达到承诺值；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内容品控：各区域投放内容无违规、错误信息，无品牌负面舆情，素材更换及时、准确；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执行保障：投放全程无重大故障，小故障解决时间符合要求，各区域投放执行进度与计划一致。</w:t>
      </w:r>
    </w:p>
    <w:p w14:paraId="4289C5E0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5" w:name="heading_28"/>
      <w:r>
        <w:rPr>
          <w:rFonts w:hint="eastAsia" w:ascii="PingFang SC Regular" w:hAnsi="PingFang SC Regular" w:eastAsia="PingFang SC Regular" w:cs="PingFang SC Regular"/>
          <w:b/>
          <w:sz w:val="32"/>
        </w:rPr>
        <w:t>6.2 验收流程</w:t>
      </w:r>
      <w:bookmarkEnd w:id="25"/>
    </w:p>
    <w:p w14:paraId="5152A426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过程验收：投放过程中，邀标方联合各区域市场团队对各区域投放点位、物料展示、设备运行、数据反馈进行实时验收，发现问题要求中标方立即整改；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整体验收：投放结束后 7 个工作日内，中标方需向邀标方提交验收结算报告（含各区域投放全程照片 / 视频、各区域数据截图、投放费用明细、复盘报告、物料与设备使用清单等）；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验收标准：邀标方按投标方案承诺的各区域 KPI 指标及本文件需求进行整体验收，所有指标达标即为验收合格；未达标项，中标方需按要求整改并承担相应违约责任，整改后仍未达标的，邀标方有权扣除相应服务费用。</w:t>
      </w:r>
    </w:p>
    <w:p w14:paraId="4B655DE3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bookmarkStart w:id="26" w:name="heading_29"/>
      <w:r>
        <w:rPr>
          <w:rFonts w:hint="eastAsia" w:ascii="PingFang SC Regular" w:hAnsi="PingFang SC Regular" w:eastAsia="PingFang SC Regular" w:cs="PingFang SC Regular"/>
          <w:b/>
          <w:sz w:val="36"/>
        </w:rPr>
        <w:t>第 7 章 合同主要条款与履约要求</w:t>
      </w:r>
      <w:bookmarkEnd w:id="26"/>
    </w:p>
    <w:p w14:paraId="7F458993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7" w:name="heading_30"/>
      <w:r>
        <w:rPr>
          <w:rFonts w:hint="eastAsia" w:ascii="PingFang SC Regular" w:hAnsi="PingFang SC Regular" w:eastAsia="PingFang SC Regular" w:cs="PingFang SC Regular"/>
          <w:b/>
          <w:sz w:val="32"/>
        </w:rPr>
        <w:t>7.1 合同签订</w:t>
      </w:r>
      <w:bookmarkEnd w:id="27"/>
    </w:p>
    <w:p w14:paraId="543F5D65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7.1.1 评标结果确定后，邀标方将向中标方发出《中标通知书》，中标方需在收到《中标通知书》后 3 个工作日内，与邀标方签订正式的《项目服务合同》；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7.1.2 中标方未按约定时间签订合同，或签订合同后拒绝履行的，邀标方有权取消其中标资格，选择备选中标候选人，并追究中标方的违约责任；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7.1.3 本邀标文件、中标方的投标文件均为《项目服务合同》的组成部分，与合同具有同等法律效力。</w:t>
      </w:r>
    </w:p>
    <w:p w14:paraId="312B4221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8" w:name="heading_31"/>
      <w:r>
        <w:rPr>
          <w:rFonts w:hint="eastAsia" w:ascii="PingFang SC Regular" w:hAnsi="PingFang SC Regular" w:eastAsia="PingFang SC Regular" w:cs="PingFang SC Regular"/>
          <w:b/>
          <w:sz w:val="32"/>
        </w:rPr>
        <w:t>7.2 项目履约要求</w:t>
      </w:r>
      <w:bookmarkEnd w:id="28"/>
    </w:p>
    <w:p w14:paraId="3F89A77A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 xml:space="preserve">7.2.1 工期要求：中标方需按《项目服务合同》约定的时间节点，完成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个区域的投放策划、点位筛选、物料制作、现场执行等所有工作，不得擅自延期；确需延期的，需提前 3 个工作日向邀标方提交书面延期申请，经邀标方书面同意后方可延期，否则视为违约。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7.2.2 整改要求：邀标方及各区域市场团队有权对投放策划方案、素材、投放策略、现场执行等提出修改、整改意见，中标方需在邀标方规定的时间内完成整改，整改费用由中标方承担，且不得因此调整投标报价。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7.2.3 质保期要求：项目整体质保期为投放结束后 15 天；质保期内，若出现投放数据造假、投放费用挪用、内容侵权、物料脱落损坏、区域舆情等问题，中标方需在 24 小时内响应，并承担全部责任及赔偿损失。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7.2.4 数据反馈要求：中标方需按本文件约定的时间，向邀标方提交各区域投放各类数据报告，确保数据真实、完整、可追溯；邀标方有权对各区域数据进行核查，若发现数据弄虚作假，视为中标方严重违约。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7.2.5 人员与物料设备要求：中标方需按投标文件中承诺的团队配置、物料与设备标准执行项目，不得擅自更换团队成员、降低物料与设备标准；确需更换的，需提前 3 个工作日向邀标方书面申请，经同意后方可更换，且更换后的人员 / 物料设备标准不低于原承诺。</w:t>
      </w:r>
    </w:p>
    <w:p w14:paraId="4E557E45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29" w:name="heading_32"/>
      <w:r>
        <w:rPr>
          <w:rFonts w:hint="eastAsia" w:ascii="PingFang SC Regular" w:hAnsi="PingFang SC Regular" w:eastAsia="PingFang SC Regular" w:cs="PingFang SC Regular"/>
          <w:b/>
          <w:sz w:val="32"/>
        </w:rPr>
        <w:t>7.3 付款方式</w:t>
      </w:r>
      <w:bookmarkEnd w:id="29"/>
    </w:p>
    <w:p w14:paraId="3173B3F1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本项目付款均为银行转账，中标方需在每次付款前，向邀标方提供合法、有效的增值税专用发票，否则邀标方有权顺延付款，不承担违约责任；具体付款节点与比例双方在《项目服务合同》中协商确认。</w:t>
      </w:r>
    </w:p>
    <w:p w14:paraId="2DE26F3D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0" w:name="heading_33"/>
      <w:r>
        <w:rPr>
          <w:rFonts w:hint="eastAsia" w:ascii="PingFang SC Regular" w:hAnsi="PingFang SC Regular" w:eastAsia="PingFang SC Regular" w:cs="PingFang SC Regular"/>
          <w:b/>
          <w:sz w:val="32"/>
        </w:rPr>
        <w:t>7.4 违约责任</w:t>
      </w:r>
      <w:bookmarkEnd w:id="30"/>
    </w:p>
    <w:p w14:paraId="422FD525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7.4.1 擅自延期违约：中标方未按约定时间完成项目工作，且未取得邀标方延期同意的，每延期 1 天，按合同总金额的 0.5% 向邀标方支付违约金，违约金累计不超过合同总金额的 20%；延期超过 3 天的，邀标方有权解除合同，收回预付款，并要求中标方赔偿实际损失。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7.4.2 数据弄虚作假 / 投放费用挪用违约：中标方存在投放数据造假、投放费用截留 / 挪用等行为的，邀标方有权立即解除合同，收回所有已付款项，并要求中标方按合同总金额的 30% 支付违约金，赔偿邀标方因此造成的所有损失（含品牌损失、维权费用等）。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7.4.3 内容负面舆情违约：因中标方操作不当导致各区域投放出现违规内容、品牌负面舆情的，中标方需立即采取补救措施，并按合同总金额的 20% 支付违约金；若造成品牌重大损失的，邀标方有权解除合同并要求全额赔偿。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7.4.4 物料设备 / 人员违约：中标方擅自更换团队成员、降低物料与设备标准的，每次按合同总金额的 5% 支付违约金；若影响投放效果的，需承担全部赔偿责任。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7.4.5 区域投放未达标违约：中标方未按投标方案完成 </w:t>
      </w:r>
      <w:r>
        <w:rPr>
          <w:rFonts w:hint="eastAsia" w:ascii="PingFang SC Regular" w:hAnsi="PingFang SC Regular" w:eastAsia="PingFang SC Regular" w:cs="PingFang SC Regular"/>
          <w:sz w:val="22"/>
          <w:lang w:val="en-US" w:eastAsia="zh-CN"/>
        </w:rPr>
        <w:t>38</w:t>
      </w:r>
      <w:r>
        <w:rPr>
          <w:rFonts w:hint="eastAsia" w:ascii="PingFang SC Regular" w:hAnsi="PingFang SC Regular" w:eastAsia="PingFang SC Regular" w:cs="PingFang SC Regular"/>
          <w:sz w:val="22"/>
        </w:rPr>
        <w:t xml:space="preserve"> 个区域全覆盖投放，或各区域 KPI 指标未达成且整改后仍未达标的，按未达标区域投放费用的比例扣除服务费用，同时按合同总金额的 10% 支付违约金。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7.4.6 其他违约：本文件未约定的违约责任，按《中华人民共和国民法典》相关规定执行。</w:t>
      </w:r>
    </w:p>
    <w:p w14:paraId="08037AE7">
      <w:pPr>
        <w:spacing w:before="380" w:after="140" w:line="288" w:lineRule="auto"/>
        <w:ind w:left="0"/>
        <w:jc w:val="left"/>
        <w:outlineLvl w:val="0"/>
        <w:rPr>
          <w:rFonts w:hint="eastAsia" w:ascii="PingFang SC Regular" w:hAnsi="PingFang SC Regular" w:eastAsia="PingFang SC Regular" w:cs="PingFang SC Regular"/>
        </w:rPr>
      </w:pPr>
      <w:bookmarkStart w:id="31" w:name="heading_34"/>
      <w:r>
        <w:rPr>
          <w:rFonts w:hint="eastAsia" w:ascii="PingFang SC Regular" w:hAnsi="PingFang SC Regular" w:eastAsia="PingFang SC Regular" w:cs="PingFang SC Regular"/>
          <w:b/>
          <w:sz w:val="36"/>
        </w:rPr>
        <w:t>第 8 章 投标有效期与其他约定</w:t>
      </w:r>
      <w:bookmarkEnd w:id="31"/>
    </w:p>
    <w:p w14:paraId="348C9E72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2" w:name="heading_35"/>
      <w:r>
        <w:rPr>
          <w:rFonts w:hint="eastAsia" w:ascii="PingFang SC Regular" w:hAnsi="PingFang SC Regular" w:eastAsia="PingFang SC Regular" w:cs="PingFang SC Regular"/>
          <w:b/>
          <w:sz w:val="32"/>
        </w:rPr>
        <w:t>8.1 投标有效期</w:t>
      </w:r>
      <w:bookmarkEnd w:id="32"/>
    </w:p>
    <w:p w14:paraId="145560C7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投标书自投标截止之日起三十个工作日内有效；投标有效期比本规定短的，视为非响应性投标，予以拒绝；在投标有效期内，投标人不得擅自撤销、修改投标文件，否则邀标方有权没收其投标相关资料，取消投标资格。</w:t>
      </w:r>
    </w:p>
    <w:p w14:paraId="5D531782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3" w:name="heading_36"/>
      <w:r>
        <w:rPr>
          <w:rFonts w:hint="eastAsia" w:ascii="PingFang SC Regular" w:hAnsi="PingFang SC Regular" w:eastAsia="PingFang SC Regular" w:cs="PingFang SC Regular"/>
          <w:b/>
          <w:sz w:val="32"/>
        </w:rPr>
        <w:t>8.2 知识产权</w:t>
      </w:r>
      <w:bookmarkEnd w:id="33"/>
    </w:p>
    <w:p w14:paraId="3A8C136B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8.2.1 中标方在项目执行过程中提交的投放策划方案、内容规划、素材设计等所有成果的知识产权，在邀标方支付全部合同款项后，归邀标方独家所有；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8.2.2 中标方不得擅自使用、复制、传播该等知识产权成果，否则邀标方有权追究其中标方的法律责任，要求赔偿损失；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8.2.3 若中标方提交的成果存在知识产权侵权问题，由中标方承担全部法律责任，并赔偿邀标方因此造成的所有损失（含维权费用、品牌损失等）。</w:t>
      </w:r>
    </w:p>
    <w:p w14:paraId="74E5A287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4" w:name="heading_37"/>
      <w:r>
        <w:rPr>
          <w:rFonts w:hint="eastAsia" w:ascii="PingFang SC Regular" w:hAnsi="PingFang SC Regular" w:eastAsia="PingFang SC Regular" w:cs="PingFang SC Regular"/>
          <w:b/>
          <w:sz w:val="32"/>
        </w:rPr>
        <w:t>8.3 保密条款</w:t>
      </w:r>
      <w:bookmarkEnd w:id="34"/>
    </w:p>
    <w:p w14:paraId="535774CA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8.3.1 投标人在投标过程中，获取的邀标方商业秘密（含产品信息、项目信息、品牌规划、投放策略、各区域市场数据等），负有严格的保密义务；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8.3.2 未经邀标方书面同意，投标人不得向任何第三方泄露上述商业秘密，保密义务在投标结束后持续有效，保密期限为 2 年；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8.3.3 若投标人泄露邀标方商业秘密，需赔偿邀标方因此造成的所有损失，邀标方有权取消其投标 / 中标资格。</w:t>
      </w:r>
    </w:p>
    <w:p w14:paraId="5B8DAE83">
      <w:pPr>
        <w:spacing w:before="320" w:after="120" w:line="288" w:lineRule="auto"/>
        <w:ind w:left="0"/>
        <w:jc w:val="left"/>
        <w:outlineLvl w:val="1"/>
        <w:rPr>
          <w:rFonts w:hint="eastAsia" w:ascii="PingFang SC Regular" w:hAnsi="PingFang SC Regular" w:eastAsia="PingFang SC Regular" w:cs="PingFang SC Regular"/>
        </w:rPr>
      </w:pPr>
      <w:bookmarkStart w:id="35" w:name="heading_38"/>
      <w:r>
        <w:rPr>
          <w:rFonts w:hint="eastAsia" w:ascii="PingFang SC Regular" w:hAnsi="PingFang SC Regular" w:eastAsia="PingFang SC Regular" w:cs="PingFang SC Regular"/>
          <w:b/>
          <w:sz w:val="32"/>
        </w:rPr>
        <w:t>8.4 其他约定</w:t>
      </w:r>
      <w:bookmarkEnd w:id="35"/>
    </w:p>
    <w:p w14:paraId="4C47DDE8">
      <w:pPr>
        <w:spacing w:before="120" w:after="120" w:line="288" w:lineRule="auto"/>
        <w:ind w:left="0"/>
        <w:jc w:val="left"/>
        <w:rPr>
          <w:rFonts w:hint="eastAsia" w:ascii="PingFang SC Regular" w:hAnsi="PingFang SC Regular" w:eastAsia="PingFang SC Regular" w:cs="PingFang SC Regular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PingFang SC Regular" w:hAnsi="PingFang SC Regular" w:eastAsia="PingFang SC Regular" w:cs="PingFang SC Regular"/>
          <w:sz w:val="22"/>
        </w:rPr>
        <w:t>8.4.1 本邀标文件的最终解释权归立马车业集团有限公司所有；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8.4.2 本邀标文件与正式《项目服务合同》内容不一致的，以正式合同为准；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8.4.3 本项目执行过程中发生的争议，双方应首先友好协商解决；协商不成的，任何一方均有权向邀标方所在地人民法院提起诉讼；</w:t>
      </w:r>
      <w:r>
        <w:rPr>
          <w:rFonts w:hint="eastAsia" w:ascii="PingFang SC Regular" w:hAnsi="PingFang SC Regular" w:eastAsia="PingFang SC Regular" w:cs="PingFang SC Regular"/>
          <w:sz w:val="22"/>
        </w:rPr>
        <w:br w:type="textWrapping"/>
      </w:r>
      <w:r>
        <w:rPr>
          <w:rFonts w:hint="eastAsia" w:ascii="PingFang SC Regular" w:hAnsi="PingFang SC Regular" w:eastAsia="PingFang SC Regular" w:cs="PingFang SC Regular"/>
          <w:sz w:val="22"/>
        </w:rPr>
        <w:t>8.4.4 本邀标文件未尽事宜，由双方协商后签订补充协议，补充协议与本文件具有同等法律效力。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EE627"/>
    <w:multiLevelType w:val="singleLevel"/>
    <w:tmpl w:val="FE4EE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 Bold" w:hAnsi="Times New Roman Bold" w:cs="Times New Roman Bold"/>
        <w:b/>
        <w:bCs/>
      </w:rPr>
    </w:lvl>
  </w:abstractNum>
  <w:abstractNum w:abstractNumId="1">
    <w:nsid w:val="1AFC661B"/>
    <w:multiLevelType w:val="multilevel"/>
    <w:tmpl w:val="1AFC661B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16"/>
    <w:rsid w:val="00062EC0"/>
    <w:rsid w:val="00174A06"/>
    <w:rsid w:val="00174A80"/>
    <w:rsid w:val="001758E6"/>
    <w:rsid w:val="00176D98"/>
    <w:rsid w:val="001925CC"/>
    <w:rsid w:val="0028266E"/>
    <w:rsid w:val="002A44A2"/>
    <w:rsid w:val="002D3E6C"/>
    <w:rsid w:val="002F748C"/>
    <w:rsid w:val="00324465"/>
    <w:rsid w:val="003A0E69"/>
    <w:rsid w:val="003A5199"/>
    <w:rsid w:val="003D1C58"/>
    <w:rsid w:val="00433ECB"/>
    <w:rsid w:val="00455EBC"/>
    <w:rsid w:val="0046694F"/>
    <w:rsid w:val="0048713D"/>
    <w:rsid w:val="00495CC7"/>
    <w:rsid w:val="004B6B66"/>
    <w:rsid w:val="004F20D8"/>
    <w:rsid w:val="004F3790"/>
    <w:rsid w:val="00560FDB"/>
    <w:rsid w:val="005648F6"/>
    <w:rsid w:val="00591994"/>
    <w:rsid w:val="0066623C"/>
    <w:rsid w:val="00666278"/>
    <w:rsid w:val="00694DBE"/>
    <w:rsid w:val="006C2CEA"/>
    <w:rsid w:val="006C2DE2"/>
    <w:rsid w:val="006D6EEA"/>
    <w:rsid w:val="007174E6"/>
    <w:rsid w:val="00743E3D"/>
    <w:rsid w:val="007A40CD"/>
    <w:rsid w:val="007C1173"/>
    <w:rsid w:val="008179A0"/>
    <w:rsid w:val="008A664A"/>
    <w:rsid w:val="008E5D47"/>
    <w:rsid w:val="009200B0"/>
    <w:rsid w:val="00967D5A"/>
    <w:rsid w:val="00A023F9"/>
    <w:rsid w:val="00A14818"/>
    <w:rsid w:val="00A5789B"/>
    <w:rsid w:val="00AD47AB"/>
    <w:rsid w:val="00B860C4"/>
    <w:rsid w:val="00B971AE"/>
    <w:rsid w:val="00BA04B7"/>
    <w:rsid w:val="00BA1216"/>
    <w:rsid w:val="00C00C8C"/>
    <w:rsid w:val="00C227B0"/>
    <w:rsid w:val="00C47836"/>
    <w:rsid w:val="00CC7A90"/>
    <w:rsid w:val="00CF3FB5"/>
    <w:rsid w:val="00D55BE5"/>
    <w:rsid w:val="00D66FD0"/>
    <w:rsid w:val="00E14611"/>
    <w:rsid w:val="00E317E6"/>
    <w:rsid w:val="00E64F2C"/>
    <w:rsid w:val="00E7075A"/>
    <w:rsid w:val="00E82BFD"/>
    <w:rsid w:val="00ED249C"/>
    <w:rsid w:val="00EF6560"/>
    <w:rsid w:val="00F57832"/>
    <w:rsid w:val="01F1157B"/>
    <w:rsid w:val="04D24326"/>
    <w:rsid w:val="0A6E0B9B"/>
    <w:rsid w:val="0B2B2002"/>
    <w:rsid w:val="0C8353F1"/>
    <w:rsid w:val="1360023A"/>
    <w:rsid w:val="195F1A34"/>
    <w:rsid w:val="1EBD3B62"/>
    <w:rsid w:val="1ECB1329"/>
    <w:rsid w:val="21B47994"/>
    <w:rsid w:val="21E06099"/>
    <w:rsid w:val="246E0E0B"/>
    <w:rsid w:val="27F94982"/>
    <w:rsid w:val="28771207"/>
    <w:rsid w:val="2A9F061B"/>
    <w:rsid w:val="2D287BC3"/>
    <w:rsid w:val="2E427977"/>
    <w:rsid w:val="2FE106D3"/>
    <w:rsid w:val="300701D9"/>
    <w:rsid w:val="31A85D6B"/>
    <w:rsid w:val="33633938"/>
    <w:rsid w:val="36502E6A"/>
    <w:rsid w:val="36A14213"/>
    <w:rsid w:val="37D5297C"/>
    <w:rsid w:val="3A905BD9"/>
    <w:rsid w:val="3B770DC8"/>
    <w:rsid w:val="3C043357"/>
    <w:rsid w:val="3C764861"/>
    <w:rsid w:val="42383FAC"/>
    <w:rsid w:val="434304EA"/>
    <w:rsid w:val="489D2DBB"/>
    <w:rsid w:val="4A3541D6"/>
    <w:rsid w:val="4AD23989"/>
    <w:rsid w:val="4B1E1952"/>
    <w:rsid w:val="4BDB3090"/>
    <w:rsid w:val="4D1A2C2C"/>
    <w:rsid w:val="4E1C41B2"/>
    <w:rsid w:val="503C1881"/>
    <w:rsid w:val="511A58F1"/>
    <w:rsid w:val="534F07A8"/>
    <w:rsid w:val="543A1E06"/>
    <w:rsid w:val="551B053A"/>
    <w:rsid w:val="592F0045"/>
    <w:rsid w:val="5B2B2AF1"/>
    <w:rsid w:val="5B476B9F"/>
    <w:rsid w:val="5CB36BF9"/>
    <w:rsid w:val="5CC76201"/>
    <w:rsid w:val="5CC9164A"/>
    <w:rsid w:val="5D982E1B"/>
    <w:rsid w:val="626827CC"/>
    <w:rsid w:val="63133886"/>
    <w:rsid w:val="6315416A"/>
    <w:rsid w:val="631571E5"/>
    <w:rsid w:val="63950E07"/>
    <w:rsid w:val="654E74BF"/>
    <w:rsid w:val="6E9A1A59"/>
    <w:rsid w:val="726739DF"/>
    <w:rsid w:val="730F11EA"/>
    <w:rsid w:val="74CC180A"/>
    <w:rsid w:val="77E33538"/>
    <w:rsid w:val="78775A95"/>
    <w:rsid w:val="7DAF3656"/>
    <w:rsid w:val="7DEB07BA"/>
    <w:rsid w:val="7E7A0ECD"/>
    <w:rsid w:val="BFE12F56"/>
    <w:rsid w:val="C5FF6280"/>
    <w:rsid w:val="D3DDB539"/>
    <w:rsid w:val="F9FB5BFA"/>
    <w:rsid w:val="FDAF7B43"/>
    <w:rsid w:val="FE5EB129"/>
    <w:rsid w:val="FEFF367F"/>
    <w:rsid w:val="FFF7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9589</Words>
  <Characters>10169</Characters>
  <Lines>15</Lines>
  <Paragraphs>4</Paragraphs>
  <TotalTime>5</TotalTime>
  <ScaleCrop>false</ScaleCrop>
  <LinksUpToDate>false</LinksUpToDate>
  <CharactersWithSpaces>10677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2023-01-03T17:54:00Z</dcterms:created>
  <dc:creator>Administrator</dc:creator>
  <cp:lastModifiedBy>yl.C</cp:lastModifiedBy>
  <cp:lastPrinted>2023-01-13T21:14:00Z</cp:lastPrinted>
  <dcterms:modified xsi:type="dcterms:W3CDTF">2026-04-14T03:49:43Z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7815FD639D9A46C6B4CBB00326C36F4D_13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