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C4F4">
      <w:pPr>
        <w:pStyle w:val="4"/>
        <w:shd w:val="clear" w:color="auto" w:fill="FFFFFF"/>
        <w:spacing w:before="0" w:beforeAutospacing="0" w:after="0" w:afterAutospacing="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30677693">
      <w:pPr>
        <w:pStyle w:val="4"/>
        <w:shd w:val="clear" w:color="auto" w:fill="FFFFFF"/>
        <w:spacing w:before="0" w:beforeAutospacing="0" w:after="0" w:afterAutospacing="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5E15BFE2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hint="eastAsia" w:cs="Arial" w:asciiTheme="minorEastAsia" w:hAnsiTheme="minorEastAsia" w:eastAsiaTheme="minorEastAsia"/>
          <w:color w:val="333333"/>
          <w:sz w:val="96"/>
          <w:szCs w:val="96"/>
        </w:rPr>
      </w:pPr>
    </w:p>
    <w:p w14:paraId="7A35D09F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cs="Arial" w:asciiTheme="minorEastAsia" w:hAnsiTheme="minorEastAsia" w:eastAsiaTheme="minorEastAsia"/>
          <w:color w:val="333333"/>
          <w:sz w:val="220"/>
          <w:szCs w:val="220"/>
        </w:rPr>
      </w:pPr>
      <w:r>
        <w:rPr>
          <w:rFonts w:hint="eastAsia" w:cs="Arial" w:asciiTheme="minorEastAsia" w:hAnsiTheme="minorEastAsia" w:eastAsiaTheme="minorEastAsia"/>
          <w:color w:val="333333"/>
          <w:sz w:val="220"/>
          <w:szCs w:val="220"/>
        </w:rPr>
        <w:t>招</w:t>
      </w:r>
    </w:p>
    <w:p w14:paraId="6E70C0B3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cs="Arial" w:asciiTheme="minorEastAsia" w:hAnsiTheme="minorEastAsia" w:eastAsiaTheme="minorEastAsia"/>
          <w:color w:val="333333"/>
          <w:sz w:val="220"/>
          <w:szCs w:val="220"/>
        </w:rPr>
      </w:pPr>
      <w:r>
        <w:rPr>
          <w:rFonts w:hint="eastAsia" w:cs="Arial" w:asciiTheme="minorEastAsia" w:hAnsiTheme="minorEastAsia" w:eastAsiaTheme="minorEastAsia"/>
          <w:color w:val="333333"/>
          <w:sz w:val="220"/>
          <w:szCs w:val="220"/>
        </w:rPr>
        <w:t>标</w:t>
      </w:r>
    </w:p>
    <w:p w14:paraId="5D257838"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cs="Arial" w:asciiTheme="minorEastAsia" w:hAnsiTheme="minorEastAsia" w:eastAsiaTheme="minorEastAsia"/>
          <w:color w:val="333333"/>
          <w:sz w:val="220"/>
          <w:szCs w:val="220"/>
        </w:rPr>
      </w:pPr>
      <w:r>
        <w:rPr>
          <w:rFonts w:hint="eastAsia" w:cs="Arial" w:asciiTheme="minorEastAsia" w:hAnsiTheme="minorEastAsia" w:eastAsiaTheme="minorEastAsia"/>
          <w:color w:val="333333"/>
          <w:sz w:val="220"/>
          <w:szCs w:val="220"/>
        </w:rPr>
        <w:t>书</w:t>
      </w:r>
    </w:p>
    <w:p w14:paraId="087185D8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50A655F9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00A1C449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48C024CB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19B7AE2D">
      <w:pPr>
        <w:pStyle w:val="4"/>
        <w:shd w:val="clear" w:color="auto" w:fill="FFFFFF"/>
        <w:spacing w:before="0" w:beforeAutospacing="0" w:after="0" w:afterAutospacing="0"/>
        <w:ind w:right="1080"/>
        <w:rPr>
          <w:rFonts w:cs="Arial" w:asciiTheme="minorEastAsia" w:hAnsiTheme="minorEastAsia" w:eastAsiaTheme="minorEastAsia"/>
          <w:color w:val="333333"/>
          <w:sz w:val="27"/>
          <w:szCs w:val="27"/>
        </w:rPr>
      </w:pPr>
    </w:p>
    <w:p w14:paraId="512F1105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邀标文件编号：LIMA -ZJ-2026(ZB006)</w:t>
      </w:r>
    </w:p>
    <w:p w14:paraId="0B85D2D0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邀标单位：立马车业集团有限公司</w:t>
      </w:r>
    </w:p>
    <w:p w14:paraId="3B576860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地 址：浙江省台州市椒江区滨海工业区甲南大道立马车业集团</w:t>
      </w:r>
    </w:p>
    <w:p w14:paraId="75F7F739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发布日期：2026 年 04 月 08 日</w:t>
      </w:r>
    </w:p>
    <w:p w14:paraId="7E4ACA1F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投标截止时间：2026 年 04 月 26 日 17:00</w:t>
      </w:r>
    </w:p>
    <w:p w14:paraId="7DC8A329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唱标 / 开标时间：2026 年 04 月 27 日 13:00</w:t>
      </w:r>
    </w:p>
    <w:p w14:paraId="7AF8E2BD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联系人：胡玲露 联系电话：17857271501 邮箱：ppglhll@shanghailima.com</w:t>
      </w:r>
    </w:p>
    <w:p w14:paraId="1415F3E4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color w:val="333333"/>
          <w:sz w:val="27"/>
          <w:szCs w:val="27"/>
        </w:rPr>
      </w:pPr>
    </w:p>
    <w:p w14:paraId="46CA1257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32"/>
          <w:szCs w:val="32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333333"/>
          <w:sz w:val="32"/>
          <w:szCs w:val="32"/>
        </w:rPr>
        <w:t>邀标邀请书</w:t>
      </w:r>
    </w:p>
    <w:p w14:paraId="77DCB96E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立马车业集团有限公司是专业从事新能源交通工具产品研发、生产制造、应用推广于一体的大型集团化高新技术企业。公司成立于 2003 年，是国内知名的电动车整车生产制造商之一。</w:t>
      </w:r>
    </w:p>
    <w:p w14:paraId="40BE154B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现针对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lang w:val="en-US" w:eastAsia="zh-CN"/>
        </w:rPr>
        <w:t>2026立马品牌战略发布暨夏季新品发布会设计策划及执行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项目进行定向邀请招标，本次发布会以品牌焕新为核心，联动全矩阵产品升级与核心爆款发布，重磅推出 “征服者” 高速电摩，以 “智能大动力” 为核心卖点，凸显其高速性能、动力输出、智能配置的差异化优势；同步发布豪华款、简易款、电自款、外卖车、休闲三轮车全品类产品，实现全场景布局展示，强化品牌核心竞争力与市场辨识度。现邀请具有大型活动策划执行、两轮交通工具行业推广经验的合格单位参加投标，有关事项如下：</w:t>
      </w:r>
    </w:p>
    <w:p w14:paraId="07CE28B1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邀标项目名称：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lang w:val="en-US" w:eastAsia="zh-CN"/>
        </w:rPr>
        <w:t>2026立马品牌战略发布暨夏季新品发布会设计策划及执行</w:t>
      </w:r>
    </w:p>
    <w:p w14:paraId="6E0D9AE5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项目活动周期：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2026 年6月28日（暂定，具体执行时间由双方协商确定）</w:t>
      </w:r>
    </w:p>
    <w:p w14:paraId="77C81476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项目活动地点：长沙</w:t>
      </w:r>
    </w:p>
    <w:p w14:paraId="4B813F43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项目活动规模：</w:t>
      </w:r>
      <w:r>
        <w:rPr>
          <w:rFonts w:hint="eastAsia" w:ascii="Microsoft YaHei Bold" w:hAnsi="Microsoft YaHei Bold" w:eastAsia="Microsoft YaHei Bold" w:cs="Microsoft YaHei Bold"/>
          <w:b w:val="0"/>
          <w:bCs w:val="0"/>
          <w:lang w:val="en-US" w:eastAsia="zh-CN"/>
        </w:rPr>
        <w:t>1000人</w:t>
      </w:r>
    </w:p>
    <w:p w14:paraId="3F548E1A">
      <w:pPr>
        <w:numPr>
          <w:ilvl w:val="0"/>
          <w:numId w:val="2"/>
        </w:num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项目总预算：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人民币 150 万元（含税，包含会议搭建+会议策划+会议执行+会议传播等费用（不含直播及直播投流））</w:t>
      </w:r>
    </w:p>
    <w:p w14:paraId="771ECEC7">
      <w:pPr>
        <w:numPr>
          <w:ilvl w:val="0"/>
          <w:numId w:val="2"/>
        </w:numPr>
        <w:ind w:leftChars="100" w:firstLine="420" w:firstLineChars="2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项目内容呈现：</w:t>
      </w:r>
    </w:p>
    <w:p w14:paraId="51EDB6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  <w:t>本发布会旨在打造一场标志性的品牌战略盛会，通过高品质的沉浸式体验，达成品牌形象升级与市场声量引爆的双重目标。核心要求如下：</w:t>
      </w:r>
    </w:p>
    <w:p w14:paraId="6BC683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  <w:t>1. 千人盛会，体验与效能兼备</w:t>
      </w:r>
    </w:p>
    <w:p w14:paraId="03B488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  <w:t>需策划并执行一场千人规模的高品质发布会，统筹兼顾嘉宾的深度参与感、媒体的高效传播性与现场的强互动性。须基于科学的场地动线规划与人流疏导方案，确保超大规模现场的秩序井然与体验流畅。展区规划需深度融合产品特性，为豪华款、简易款、电自款、外卖车、休闲三轮车等全矩阵产品打造场景化展示空间，在实现核心爆款“征服者”重点突出的同时，让全品类产品各展其特色与优势。</w:t>
      </w:r>
    </w:p>
    <w:p w14:paraId="26DA16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  <w:t>2. 双核发布，聚焦品牌与爆品</w:t>
      </w:r>
    </w:p>
    <w:p w14:paraId="19D08A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0"/>
        <w:textAlignment w:val="auto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highlight w:val="none"/>
          <w:lang w:val="en-US" w:eastAsia="zh-CN" w:bidi="ar-SA"/>
        </w:rPr>
        <w:t>发布会需紧扣“品牌焕新”与“核心爆款”两大核心。一方面，系统化落地全新的品牌VI（视觉识别）、SI（空间识别）体系，全面刷新品牌视觉形象。另一方面，需围绕“征服者”高速电摩“智能大动力”的核心卖点，创新设计如沉浸式动态体验、专业技术深度解析等多元形式，全方位、立体化地凸显其在高速性能、强劲动力与智能配置上的差异化优势，强力塑造爆款产品的市场记忆点。</w:t>
      </w:r>
    </w:p>
    <w:p w14:paraId="001BA02E">
      <w:pPr>
        <w:numPr>
          <w:ilvl w:val="0"/>
          <w:numId w:val="2"/>
        </w:numPr>
        <w:ind w:leftChars="100" w:firstLine="420" w:firstLineChars="2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邀标文件获取方式</w:t>
      </w:r>
    </w:p>
    <w:p w14:paraId="0733C987">
      <w:pPr>
        <w:numPr>
          <w:ilvl w:val="0"/>
          <w:numId w:val="0"/>
        </w:numPr>
        <w:ind w:leftChars="3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7.1线下：浙江省台州市椒江区滨海工业区甲南大道立马车业集团品牌部</w:t>
      </w:r>
    </w:p>
    <w:p w14:paraId="7E0CE350">
      <w:pPr>
        <w:numPr>
          <w:ilvl w:val="0"/>
          <w:numId w:val="0"/>
        </w:numPr>
        <w:ind w:leftChars="300" w:firstLine="210" w:firstLine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7.2线上：联系邀标方联系人获取电子版邀标文件</w:t>
      </w:r>
    </w:p>
    <w:p w14:paraId="7F1EF42E">
      <w:pPr>
        <w:numPr>
          <w:ilvl w:val="0"/>
          <w:numId w:val="2"/>
        </w:numPr>
        <w:ind w:left="210" w:leftChars="100" w:firstLine="420" w:firstLineChars="2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时间节点：</w:t>
      </w:r>
    </w:p>
    <w:p w14:paraId="54E11ECC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8.1投标人参加邀标确认：2026 年 04 月 21 日 13:00 前通过邮件 + 书面回函双重确认（回函模板见附件 1）</w:t>
      </w:r>
    </w:p>
    <w:p w14:paraId="7C4A4DD2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8.2投标文件递交截止时间：2026 年04月 26 日 17:00 前（逾期递交视为无效投标）</w:t>
      </w:r>
    </w:p>
    <w:p w14:paraId="69412AE7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8.3唱标 / 开标时间：2026 年 04 月 27 日 (具体时间双方协商确认）</w:t>
      </w:r>
    </w:p>
    <w:p w14:paraId="230D7E8F">
      <w:pPr>
        <w:numPr>
          <w:ilvl w:val="0"/>
          <w:numId w:val="0"/>
        </w:numPr>
        <w:ind w:leftChars="300" w:firstLine="210" w:firstLineChars="100"/>
        <w:rPr>
          <w:rFonts w:hint="eastAsia" w:ascii="PingFang SC Regular" w:hAnsi="PingFang SC Regular" w:eastAsia="PingFang SC Regular" w:cs="PingFang SC Regular"/>
          <w:lang w:val="en-US" w:eastAsia="zh-CN"/>
        </w:rPr>
      </w:pPr>
      <w:r>
        <w:rPr>
          <w:rFonts w:hint="eastAsia" w:ascii="PingFang SC Regular" w:hAnsi="PingFang SC Regular" w:eastAsia="PingFang SC Regular" w:cs="PingFang SC Regular"/>
          <w:lang w:val="en-US" w:eastAsia="zh-CN"/>
        </w:rPr>
        <w:t>8.4投标 / 开标地点：立马车业集团会议室，纸质投标文件可邮寄至邀标单位地址</w:t>
      </w:r>
    </w:p>
    <w:p w14:paraId="69157906">
      <w:pPr>
        <w:numPr>
          <w:ilvl w:val="0"/>
          <w:numId w:val="2"/>
        </w:numPr>
        <w:ind w:left="210" w:leftChars="100" w:firstLine="420" w:firstLineChars="200"/>
        <w:rPr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投标文件递交要求：</w:t>
      </w:r>
      <w:r>
        <w:rPr>
          <w:rFonts w:hint="eastAsia" w:ascii="PingFang SC Regular" w:hAnsi="PingFang SC Regular" w:eastAsia="PingFang SC Regular" w:cs="PingFang SC Regular"/>
          <w:lang w:val="en-US" w:eastAsia="zh-CN"/>
        </w:rPr>
        <w:t>电子版或纸质版一式伍份（正本壹份，副本肆份），纸质版与电子版内容一致。</w:t>
      </w:r>
    </w:p>
    <w:p w14:paraId="6FE8B9A9">
      <w:pPr>
        <w:pStyle w:val="4"/>
        <w:shd w:val="clear" w:color="auto" w:fill="FFFFFF"/>
        <w:spacing w:before="0" w:beforeAutospacing="0" w:after="0" w:afterAutospacing="0"/>
        <w:ind w:left="48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DF12D5F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项目核心需求细则</w:t>
      </w:r>
    </w:p>
    <w:p w14:paraId="721EA3B0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rightChars="0" w:firstLine="420" w:firstLineChars="200"/>
        <w:outlineLvl w:val="1"/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发布会整体执行需求（长沙，1000 人规模）</w:t>
      </w:r>
    </w:p>
    <w:p w14:paraId="0EEFC9B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420" w:firstLineChars="20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场地规划：由投标方创意推荐长沙可同时满足 1000 人食宿、会议及展示需求的综合性适配场地，结合场地实际尺寸科学规划动线、优化人流疏导，保障 1000 人现场体验流畅有序、舒适便捷；合理布局品牌焕新展示区、“征服者” 核心爆款沉浸式体验区、全品类产品场景化展区、嘉宾互动区、技术解析区等功能区域，实现分区清晰、动线贴合体验逻辑；重点打造核心爆款展区，全品类展区紧密贴合产品实际消费场景，实现展示与体验的高度融合。</w:t>
      </w:r>
    </w:p>
    <w:p w14:paraId="2412AB58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420" w:firstLineChars="20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品牌体系落地：将全新品牌 VI、SI 体系全方位落地于发布会现场，包括场地搭建、物料设计、展陈布置、舞台视觉等所有环节，实现品牌焕新视觉统一，强化品牌新形象认知。</w:t>
      </w:r>
    </w:p>
    <w:p w14:paraId="0C30AEA8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420" w:firstLineChars="20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执行保障：全权负责发布会现场的搭建、拆场、日常运营等工作，制定完善的现场安全预案、突发事件应急方案、千人规模人流疏导方案；负责完成场地报批、消防验收等所有相关合规手续，确保活动合法合规落地，无安全事故。</w:t>
      </w:r>
    </w:p>
    <w:p w14:paraId="21E69F97"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 w:firstLine="420" w:firstLineChars="20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人员配置：需配备专业的项目策划、场地搭建、摄影摄像、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礼仪模特、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体验指导人员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等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，人员分工明确；所有工作人员需具备相关行业服务经验。</w:t>
      </w:r>
    </w:p>
    <w:p w14:paraId="3091D6A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Chars="200" w:right="0" w:rightChars="0"/>
        <w:outlineLvl w:val="1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2. 物料设计需求</w:t>
      </w:r>
    </w:p>
    <w:p w14:paraId="1C8B55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 w:firstLineChars="20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2.1 设计核心要求：严格匹配立马全新品牌 VI、SI 体系，结合 “征服者” 高速电摩核心卖点与全品类产品场景特点，打造高辨识度、高质感的发布会视觉体系，所有设计成果需具备可落地性、品牌统一性、场景适配性，契合 1000 人高品质发布会定位。</w:t>
      </w:r>
    </w:p>
    <w:p w14:paraId="4E5315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2.2 核心设计交付物：投标方需提供全套设计稿源文件，并配合邀标方进行设计修改，直至定稿，具体交付物包括：品牌端：发布会主题主视觉（KV）、品牌 VI/SI 体系落地展示设计、系列宣传海报、活动主形象设计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等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；现场端：发布会场地平面布局图、展具 / 互动装置 3D 效果图、舞台视觉设计、各功能展区设计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等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；物料端：嘉宾物料（邀请函、伴手礼包装等）、现场指引物料（导视牌、分区标识等）；传播端：线上发布物料，包括但不限于预热视频、倒计时海报、发布会快剪视频、总结战报长图、媒体通稿等。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 xml:space="preserve"> </w:t>
      </w:r>
    </w:p>
    <w:p w14:paraId="1E027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 w:firstLineChars="20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 xml:space="preserve">2.3 设计交付时间：中标后 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7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 xml:space="preserve"> 个工作日内提交初步设计方案，邀标方确认后 3 个工作日内提交全套设计定稿与源文件。</w:t>
      </w:r>
    </w:p>
    <w:p w14:paraId="35A8B3D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Chars="0" w:right="0" w:rightChars="0" w:firstLine="420" w:firstLineChars="200"/>
        <w:outlineLvl w:val="1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3. 发布会传播需求</w:t>
      </w:r>
    </w:p>
    <w:p w14:paraId="1E90A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3.1 传播规划：结合发布会品牌焕新、新品发布核心内容，制定全维度大众媒体传播方案，涵盖发布会前预热、现场传播、会后复盘全阶段，整合各级别大众媒体资源，兼顾媒体权威性、行业垂直性与地方针对性，提升活动曝光与品牌声量，实现发布会核心信息的广泛触达。</w:t>
      </w:r>
    </w:p>
    <w:p w14:paraId="216E85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3.2 大众媒体传播执行：负责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央媒、党媒、IT科技类、主流媒体、新闻资讯、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全国性综合媒体、长沙本地核心媒体等大众媒体资源的全面对接；完成媒体邀请、现场媒体接待与专属服务工作；按既定传播节奏撰写并发布媒体通稿、新闻素材、产品深度解析资料，确保品牌焕新、“征服者” 高速电摩核心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特性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、全品类产品布局等核心信息快速、全面、精准触达主流受众；配合媒体完成现场专访、产品实拍、深度报道等相关工作，保障媒体传播素材的丰富性与专业性。</w:t>
      </w:r>
    </w:p>
    <w:p w14:paraId="4EE10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3.3 通用传播执行：负责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发布会官方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传播内容的制作，联动大众媒体传播节奏形成传播合力；制定针对性的传播转化策略，引导受众关注立马官方平台，提升品牌与新品的市场认知度和认可度。</w:t>
      </w:r>
    </w:p>
    <w:p w14:paraId="7A9140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 xml:space="preserve">3.4 传播品控：所有大众媒体传播内容（含通稿、素材、深度报道）及官方发布素材，需提前 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3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 xml:space="preserve"> 个工作日提交邀标方审核，审核通过后方可发布；投标方需对全渠道大众媒体传播内容进行全流程品控，负责传播数据的实时监测与汇总分析；发布后 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7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 xml:space="preserve"> 个工作日内，向邀标方提供完整的大众媒体传播数据报告，包含媒体发稿量、转载量、曝光量、阅读量，以及全平台综合传播数据等。</w:t>
      </w:r>
    </w:p>
    <w:p w14:paraId="1A361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3.5 合作保障：全权负责所有大众媒体的费用结算、合作履约保障，若出现媒体发稿逾期、内容不符要求、传播资源未按约定落地等情况，由投标方承担全部责任并及时采取补救措施，确保整体传播效果达成。</w:t>
      </w:r>
    </w:p>
    <w:p w14:paraId="09E3F0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 w:firstLineChars="200"/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4.全案整合需求</w:t>
      </w:r>
    </w:p>
    <w:p w14:paraId="48552B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 w:firstLineChars="200"/>
        <w:jc w:val="left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4.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1</w:t>
      </w:r>
      <w:r>
        <w:rPr>
          <w:rFonts w:hint="default" w:ascii="Microsoft YaHei Regular" w:hAnsi="Microsoft YaHei Regular" w:eastAsia="Microsoft YaHei Regular" w:cs="Microsoft YaHei Regular"/>
          <w:b w:val="0"/>
          <w:bCs w:val="0"/>
          <w:kern w:val="2"/>
          <w:sz w:val="21"/>
          <w:szCs w:val="22"/>
          <w:lang w:val="en-US" w:eastAsia="zh-CN" w:bidi="ar-SA"/>
        </w:rPr>
        <w:t>投标方需作为项目总负责方，负责发布会设计、策划、执行、传播全案整合运营，实现场地规划、视觉设计、现场执行、大众媒体传播四大模块协同推进；制定全项目的传播节奏、执行节奏表，明确各模块的时间节点、责任人，统筹大众媒体现场对接流程，确保各模块无缝衔接，实现品牌焕新与新品发布的双重目标。</w:t>
      </w:r>
    </w:p>
    <w:p w14:paraId="4EF9C818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41216BAF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招标须知</w:t>
      </w:r>
    </w:p>
    <w:p w14:paraId="3F155BA4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1 投标人资格</w:t>
      </w:r>
    </w:p>
    <w:p w14:paraId="29F1EEE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投标人须具有独立法人资格，持有有效的营业执照、相关活动策划执行资质证明（需提供复印件加盖公章）；</w:t>
      </w:r>
    </w:p>
    <w:p w14:paraId="66EADA1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投标人须具有大型活动策划与落地执行经验，且近 3 年具备新能源 / 交通工具行业推广项目案例（需提供合同复印件、项目成果报告等证明材料）；</w:t>
      </w:r>
    </w:p>
    <w:p w14:paraId="67F1DB9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1.3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投标人须承认和履行本邀标文件中的所有条款与要求，通过邀标方资格审查并被定向邀请；</w:t>
      </w:r>
    </w:p>
    <w:p w14:paraId="23968B64">
      <w:pPr>
        <w:ind w:left="420" w:leftChars="200" w:firstLine="0" w:firstLineChars="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1.4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投标人无违法违规记录、无重大项目履约违约记录，未被列入失信被执行人名单（需提供相关声明）；</w:t>
      </w:r>
    </w:p>
    <w:p w14:paraId="186F61CC">
      <w:pPr>
        <w:ind w:left="420" w:leftChars="200" w:firstLine="0" w:firstLineChars="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1.5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本项目不接受联合体投标，不允许分包、转包，投标人需独立完成全案设计与执行。</w:t>
      </w:r>
    </w:p>
    <w:p w14:paraId="3302DE92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2 投标费用</w:t>
      </w:r>
    </w:p>
    <w:p w14:paraId="4C6ADD6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2.1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投标人应自行承担所有与编写和提交投标文件有关的费用，包括但不限于设计稿制作、资料打印、邮寄、差旅、答疑参与等，不论投标结果如何，邀标人在任何情况下均无义务和责任承担该等费用；</w:t>
      </w:r>
    </w:p>
    <w:p w14:paraId="33BB565B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2.2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无论中标与否，投标人提交的所有投标资料（含设计稿、方案、资质文件、案例等）均不予退还，邀标方有权留存备案。</w:t>
      </w:r>
    </w:p>
    <w:p w14:paraId="315CE0EB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3 邀标文件</w:t>
      </w:r>
    </w:p>
    <w:p w14:paraId="0B1C27E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3.1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投标人应认真阅读本邀标文件中所有的事项、条款、规范及需求要求，若未按照邀标文件要求提交全部资料，或投标书未对邀标文件做出实质性响应，该投标将被拒绝，相关风险由投标人自行承担；</w:t>
      </w:r>
    </w:p>
    <w:p w14:paraId="480E89B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3.2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投标人对邀标文件内容有疑问的，需在答疑时间内以书面形式向邀标方提出，口头疑问不予受理；邀标方的答疑回复将以书面形式通知所有确认投标的单位，答疑回复为邀标文件的组成部分，具有法律约束力。</w:t>
      </w:r>
    </w:p>
    <w:p w14:paraId="21C5CACA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4 邀标文件的修改</w:t>
      </w:r>
    </w:p>
    <w:p w14:paraId="39D32D1F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4.1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在投标截止日期前的任何时候，邀标方可主动或在解答投标人问题时对邀标文件进行修改；</w:t>
      </w:r>
    </w:p>
    <w:p w14:paraId="74AB0516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4.2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邀标文件的修改将以邮件 + 盖章书面通知的形式，发送至所有确认投标的投标人，修改内容自通知发出之日起生效，对所有投标人均具有法律约束力；</w:t>
      </w:r>
    </w:p>
    <w:p w14:paraId="45CB6902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4.3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若邀标文件修改内容影响投标文件编制，邀标方可根据实际情况顺延投标截止时间，并书面通知所有投标人。</w:t>
      </w:r>
    </w:p>
    <w:p w14:paraId="0B67D8C7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5 投标文件编制要求</w:t>
      </w:r>
    </w:p>
    <w:p w14:paraId="6BD65D3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投标文件需按本邀标文件要求编制，纸质版一式伍份（正本壹份，副本肆份），电子版壹份（U 盘 / 光盘存储，含全套投标文件 PDF 版与可编辑版），纸质版与电子版内容需保持完全一致；</w:t>
      </w:r>
    </w:p>
    <w:p w14:paraId="393DB53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投标文件需采用 A4 纸张打印，胶装成册，编制目录并标注页码，便于查阅；正本需加盖投标人公章并由法定代表人 / 授权委托人签字，副本可加盖公章复印件；</w:t>
      </w:r>
    </w:p>
    <w:p w14:paraId="1D1C694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投标文件需按商务文件 - 技术方案文件 - 报价文件 - 附件文件的固定顺序编制，不得随意调整；</w:t>
      </w:r>
    </w:p>
    <w:p w14:paraId="4ACD043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5.4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投标文件需采用密封包装，密封袋需使用邀标方指定样式（或自封袋），并在密封袋上清晰标注：邀标文件编号、项目名称、投标人名称、“正本 / 副本 / 电子版”，同时在密封处加盖投标人公章；未密封、密封不合格或标注信息不清晰的投标文件，视为无效投标。</w:t>
      </w:r>
    </w:p>
    <w:p w14:paraId="1CECF116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6 废标条款</w:t>
      </w:r>
    </w:p>
    <w:p w14:paraId="0DAB0B6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投标人存在下列情形之一的，其投标将被视为废标，邀标方有权直接拒绝，不参与后续评标：</w:t>
      </w:r>
    </w:p>
    <w:p w14:paraId="07619BDC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①未在投标截止时间前递交 / 邮寄投标文件，或投标文件逾期送达的；</w:t>
      </w:r>
    </w:p>
    <w:p w14:paraId="2B77F586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②投标文件未按本文件要求编制、密封、签字、盖章的；</w:t>
      </w:r>
    </w:p>
    <w:p w14:paraId="08872DB5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③投标人不具备本文件规定的投标资格，或资质文件弄虚作假、缺失的；</w:t>
      </w:r>
    </w:p>
    <w:p w14:paraId="2CBF661C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④投标总报价高于项目总预算 150 万元，或未按要求单独提供设计费用报价的；</w:t>
      </w:r>
    </w:p>
    <w:p w14:paraId="39C9C4EE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⑥投标书未对邀标文件做出实质性响应，或明确拒绝履行本文件条款的；</w:t>
      </w:r>
    </w:p>
    <w:p w14:paraId="4ED9815B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⑦同一投标人提交两个及以上不同的投标方案或投标报价的；</w:t>
      </w:r>
    </w:p>
    <w:p w14:paraId="1B21F12A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⑧存在串通投标、弄虚作假、行贿等违法违规行为的；</w:t>
      </w:r>
    </w:p>
    <w:p w14:paraId="3F4D9C2D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⑨投标文件字迹模糊、无法辨认，或存在涂改、删减未加盖公章的；</w:t>
      </w:r>
    </w:p>
    <w:p w14:paraId="6597572D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7 质疑与投诉</w:t>
      </w:r>
    </w:p>
    <w:p w14:paraId="778E2D2F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7.1投标人对邀标文件、评标结果有异议的，可在规定时间内以书面形式向邀标方提出质疑，质疑函需加盖投标人公章并详细说明理由，附相关证明材料；</w:t>
      </w:r>
    </w:p>
    <w:p w14:paraId="637F778F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7.2 邀标方在收到质疑函后 3 个工作日内，以书面形式予以回复；若投标人对回复不满意，可向邀标方上级主管部门提出投诉；</w:t>
      </w:r>
    </w:p>
    <w:p w14:paraId="4DA35BF5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7.3 质疑与投诉均需以书面形式提出，口头质疑、投诉不予受理；投标人恶意质疑、投诉的，邀标方有权取消其投标 / 中标资格。</w:t>
      </w:r>
    </w:p>
    <w:p w14:paraId="388FEE1E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1D7F8CD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投标报价与标书内容</w:t>
      </w:r>
    </w:p>
    <w:p w14:paraId="38A25962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1 投标报价</w:t>
      </w:r>
    </w:p>
    <w:p w14:paraId="3F01DB9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1.1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投标报价以人民币为唯一计价单位，报价为含税全包价（含增值税、设计费、搭建费、执行费、物料费、人员费、报批费、传播费等所有相关费用）；</w:t>
      </w:r>
    </w:p>
    <w:p w14:paraId="04CAA662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本次投标总报价不得高于 150 万元人民币，超出项目总预算的投标视为无效投标；</w:t>
      </w:r>
    </w:p>
    <w:p w14:paraId="1549F159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投标人应在投标报价表中，明确标注投标总报价、各模块分项报价、单独设计费用报价，报价需清晰列明费用列支依据，每个方案仅允许有一个报价，任何有选择的报价将不予接受；</w:t>
      </w:r>
    </w:p>
    <w:p w14:paraId="4FA9CB05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1.4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投标方案必须单独包含设计费用，设计费用为单独收费标准，邀标方可单独按照报价购买设计方案，投标方需按照设计稿提供可执行落地的活动平面尺寸图、施工图及其他设计附件；</w:t>
      </w:r>
    </w:p>
    <w:p w14:paraId="706680AE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1.5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投标报价为固定总价，中标后不得因任何原因（如材料涨价、人工成本增加等）调整报价，邀标方无额外增补预算，所有后续整改、优化费用均由中标方承担。</w:t>
      </w:r>
    </w:p>
    <w:p w14:paraId="2CA42BFC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</w:t>
      </w:r>
      <w:r>
        <w:rPr>
          <w:rFonts w:hint="eastAsia" w:ascii="Microsoft YaHei Bold" w:hAnsi="Microsoft YaHei Bold" w:eastAsia="Microsoft YaHei Bold" w:cs="Microsoft YaHei Bold"/>
          <w:b/>
          <w:bCs/>
        </w:rPr>
        <w:t xml:space="preserve"> 投标书核心内容</w:t>
      </w:r>
    </w:p>
    <w:p w14:paraId="41886940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投标人编写的投标书需包含以下四部分核心内容，缺一不可，缺失任何一部分将视为非实质性响应，予以拒绝：</w:t>
      </w:r>
    </w:p>
    <w:p w14:paraId="7D0FC458">
      <w:pPr>
        <w:ind w:leftChars="100" w:firstLine="210" w:firstLine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2.1 商务文件</w:t>
      </w:r>
    </w:p>
    <w:p w14:paraId="3C7502C8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①投标函（需按附件 2 模板填写，加盖公章、签字）；</w:t>
      </w:r>
    </w:p>
    <w:p w14:paraId="5E13C4C2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②投标人资格证明文件（营业执照、资质证明等，复印件加盖公章）；</w:t>
      </w:r>
    </w:p>
    <w:p w14:paraId="7F2A4032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③资格声明文件（关于资格的声明函、投标人资格声明、法定代表人授权书，按附件 3-5 模板填写，加盖公章、签字）；</w:t>
      </w:r>
    </w:p>
    <w:p w14:paraId="2E8B0BC9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④投标人近 3 年同类项目案例证明（含合同复印件、项目成果报告、现场照片 / 视频等）；</w:t>
      </w:r>
    </w:p>
    <w:p w14:paraId="1DB3FBA7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⑥项目团队配置证明（团队成员简历、从业经验、相关专业资质、过往项目业绩等）；</w:t>
      </w:r>
    </w:p>
    <w:p w14:paraId="4B6F1009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⑦投标人无违法违规、无失信记录的书面声明（加盖公章）。</w:t>
      </w:r>
    </w:p>
    <w:p w14:paraId="5A4A25F1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2.2 技术方案文件</w:t>
      </w:r>
    </w:p>
    <w:p w14:paraId="247B13B7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①项目整体执行方案（含项目核心策略、会议场地规划设计、会议执行及传播节奏表、人员配置表、安全预案、应急方案等）；</w:t>
      </w:r>
    </w:p>
    <w:p w14:paraId="69A4DCE8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②会议搭建视觉设计初步方案（含主视觉草图、场地平面布局初步图、展区设计思路等）；</w:t>
      </w:r>
    </w:p>
    <w:p w14:paraId="2A604EA8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③大众媒体推广策略（含大众媒体推荐、大众媒体筛选标准、传播节奏、大众媒体合作保障等）；</w:t>
      </w:r>
    </w:p>
    <w:p w14:paraId="254D8E82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④项目 KPI 达成专项方案（含品牌曝光、执行质量二类 KPI 的具体达成措施、数据监测方式等）；</w:t>
      </w:r>
    </w:p>
    <w:p w14:paraId="608D0643">
      <w:pPr>
        <w:ind w:leftChars="100" w:firstLine="210" w:firstLine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2.3 报价文件</w:t>
      </w:r>
    </w:p>
    <w:p w14:paraId="75A48C08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①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投标报价表（加盖公章、签字），含总报价、各模块分项报价、单独设计费用报价；</w:t>
      </w:r>
    </w:p>
    <w:p w14:paraId="64AFB32F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②报价说明（含费用列支依据、含税说明、税率、未包含费用说明等，加盖公章）。</w:t>
      </w:r>
    </w:p>
    <w:p w14:paraId="0C157AC1">
      <w:pPr>
        <w:ind w:leftChars="100" w:firstLine="210" w:firstLine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2.4 附件文件</w:t>
      </w:r>
    </w:p>
    <w:p w14:paraId="7B29399D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①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邀标确认函（按附件 1 模板填写，加盖公章、签字）；</w:t>
      </w:r>
    </w:p>
    <w:p w14:paraId="4D9202F3">
      <w:pPr>
        <w:ind w:leftChars="100"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②本邀标文件要求的其他证明文件、补充材料。</w:t>
      </w:r>
    </w:p>
    <w:p w14:paraId="06F094A0">
      <w:pPr>
        <w:pStyle w:val="4"/>
        <w:shd w:val="clear" w:color="auto" w:fill="FFFFFF"/>
        <w:spacing w:before="0" w:beforeAutospacing="0" w:after="0" w:afterAutospacing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BC7832D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评标标准及办法</w:t>
      </w:r>
    </w:p>
    <w:p w14:paraId="5A60E818">
      <w:pPr>
        <w:ind w:leftChars="100"/>
        <w:rPr>
          <w:rFonts w:hint="eastAsia" w:ascii="Microsoft YaHei Regular" w:hAnsi="Microsoft YaHei Regular" w:eastAsia="Microsoft YaHei Regular" w:cs="Microsoft YaHei Regular"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sz w:val="21"/>
          <w:szCs w:val="21"/>
          <w:lang w:val="en-US" w:eastAsia="zh-CN"/>
        </w:rPr>
        <w:t>本项目采用综合评分法进行评标，评标总分为 100 分，由 ** 商务分（30 分）、技术分（50 分）、报价分（20 分）** 三部分组成；评标委员会由邀标方品牌、产品、采购、法务等相关部门负责人组成，独立打分并计算平均分，按综合得分高低排序确定中标候选人。</w:t>
      </w:r>
    </w:p>
    <w:p w14:paraId="433C887D">
      <w:pPr>
        <w:ind w:leftChars="100"/>
        <w:rPr>
          <w:rFonts w:hint="eastAsia" w:ascii="Microsoft YaHei Regular" w:hAnsi="Microsoft YaHei Regular" w:eastAsia="Microsoft YaHei Regular" w:cs="Microsoft YaHei Regular"/>
          <w:b/>
          <w:bCs/>
          <w:sz w:val="21"/>
          <w:szCs w:val="21"/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sz w:val="21"/>
          <w:szCs w:val="21"/>
        </w:rPr>
        <w:t>1 详细评分细则</w:t>
      </w:r>
    </w:p>
    <w:tbl>
      <w:tblPr>
        <w:tblStyle w:val="5"/>
        <w:tblW w:w="9641" w:type="dxa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3"/>
        <w:gridCol w:w="1534"/>
        <w:gridCol w:w="6874"/>
      </w:tblGrid>
      <w:tr w14:paraId="2C2D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68CDF18B">
            <w:pPr>
              <w:ind w:leftChars="100"/>
              <w:jc w:val="center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评分维度</w:t>
            </w: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10ECC92">
            <w:pPr>
              <w:ind w:leftChars="100"/>
              <w:jc w:val="center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分值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F64237C">
            <w:pPr>
              <w:ind w:leftChars="100"/>
              <w:jc w:val="center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具体评分细则</w:t>
            </w:r>
          </w:p>
        </w:tc>
      </w:tr>
      <w:tr w14:paraId="7861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3" w:type="dxa"/>
            <w:vMerge w:val="restart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D4A3D5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商务分</w:t>
            </w:r>
          </w:p>
          <w:p w14:paraId="2D0A6E61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（30 分）</w:t>
            </w: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15C6EA41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企业资质</w:t>
            </w:r>
          </w:p>
          <w:p w14:paraId="0E2BED5A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（5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1CE0F2C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具备完整的独立法人资质、活动策划执行相关资质，资质齐全、有效得 5 分；缺 1 项核心资质扣 2 分，扣完为止。</w:t>
            </w:r>
          </w:p>
        </w:tc>
      </w:tr>
      <w:tr w14:paraId="02C1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3" w:type="dxa"/>
            <w:vMerge w:val="continue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6D9C00F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E5F63C3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同类项目经验</w:t>
            </w:r>
          </w:p>
          <w:p w14:paraId="0608A73D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（20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C3D3F3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近 3 年有新能源 / 交通工具行业大型会议 / 品牌推广项目案例，提供完整案例得 10分；非行业大型案例每个得5 分；无行业案例得 2分。</w:t>
            </w:r>
          </w:p>
        </w:tc>
      </w:tr>
      <w:tr w14:paraId="15D1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3" w:type="dxa"/>
            <w:vMerge w:val="continue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899C70A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8493528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项目团队配置</w:t>
            </w:r>
          </w:p>
          <w:p w14:paraId="24794C8F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（5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04181315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项目团队成员均具备相关行业从业经验、专业资质，团队配置合理、匹配项目需求得 5 分；团队配置一般、部分成员无行业经验得 3 分；无专业项目团队得 0 分。</w:t>
            </w:r>
          </w:p>
        </w:tc>
      </w:tr>
      <w:tr w14:paraId="1F75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3" w:type="dxa"/>
            <w:vMerge w:val="restart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398035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技术分</w:t>
            </w:r>
          </w:p>
          <w:p w14:paraId="0CC46F8F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 xml:space="preserve">（50 分） </w:t>
            </w: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759E89C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整体方案策略</w:t>
            </w:r>
          </w:p>
          <w:p w14:paraId="7F7FF493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（15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4D2E4576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方案贴合项目目的与产品定位，核心策略清晰、创新、可落地性强得15 分；方案基本贴合项目需求，策略一般得8分；方案与项目需求不符，策略不可行得3 分。</w:t>
            </w:r>
          </w:p>
        </w:tc>
      </w:tr>
      <w:tr w14:paraId="58C1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3" w:type="dxa"/>
            <w:vMerge w:val="continue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BA1170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717D17F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执行方案</w:t>
            </w:r>
          </w:p>
          <w:p w14:paraId="07D1133F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（30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2EAFB8B7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适配千人规模，场地动线、功能分区科学，展区贴合产品、体验丰富；执行分工清晰，安全应急及人流疏导方案完善可落地；发布形式新颖，会议创新突出，具差异化亮点。得 30 分；基本适配千人规模，规划合理，体验一般；执行保障方案有少量疏漏；有基础创新尝试，但形式单一、落地性一般，无明显差异化。得 15 分；</w:t>
            </w:r>
          </w:p>
          <w:p w14:paraId="154DC16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不适配千人规模，规划混乱，无贴合产品的体验环节；无有效执行及保障方案；无任何发布创新，沿用传统模式，无法满足需求。得 5 分；</w:t>
            </w:r>
          </w:p>
        </w:tc>
      </w:tr>
      <w:tr w14:paraId="4D8A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3" w:type="dxa"/>
            <w:vMerge w:val="continue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19BD02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B086A63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视觉设计</w:t>
            </w:r>
          </w:p>
          <w:p w14:paraId="0FE2C24C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（5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3DC59632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设计贴合产品设计方向与品牌定位、具备强可落地性、视觉效果佳得5 分；设计基本贴合产品品牌定位、可落地性一般得3 分；设计与产品品牌定位不符、无落地性得 0 分。</w:t>
            </w:r>
          </w:p>
        </w:tc>
      </w:tr>
      <w:tr w14:paraId="7EF9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3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89CBB8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报价分</w:t>
            </w:r>
          </w:p>
          <w:p w14:paraId="3206A7AB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（20 分）</w:t>
            </w:r>
          </w:p>
        </w:tc>
        <w:tc>
          <w:tcPr>
            <w:tcW w:w="153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5105524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报价合理性</w:t>
            </w:r>
          </w:p>
          <w:p w14:paraId="6EA5E7F0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（20 分）</w:t>
            </w:r>
          </w:p>
        </w:tc>
        <w:tc>
          <w:tcPr>
            <w:tcW w:w="6874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top"/>
          </w:tcPr>
          <w:p w14:paraId="54836267">
            <w:pPr>
              <w:ind w:leftChars="100"/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</w:rPr>
            </w:pPr>
            <w:r>
              <w:rPr>
                <w:rFonts w:hint="eastAsia" w:ascii="Microsoft YaHei Regular" w:hAnsi="Microsoft YaHei Regular" w:eastAsia="Microsoft YaHei Regular" w:cs="Microsoft YaHei Regular"/>
                <w:sz w:val="16"/>
                <w:szCs w:val="18"/>
                <w:lang w:val="en-US" w:eastAsia="zh-CN"/>
              </w:rPr>
              <w:t>以所有有效投标报价的最低报价为基准分（20 分），其他投标人报价得分计算公式：报价得分 = 20-（投标人报价 - 最低报价）/ 最低报价 ×100分值保留 2 位小数，最低得 0 分。</w:t>
            </w:r>
          </w:p>
        </w:tc>
      </w:tr>
    </w:tbl>
    <w:p w14:paraId="0E200559">
      <w:pPr>
        <w:rPr>
          <w:rFonts w:hint="eastAsia" w:ascii="Microsoft YaHei Regular" w:hAnsi="Microsoft YaHei Regular" w:eastAsia="Microsoft YaHei Regular" w:cs="Microsoft YaHei Regular"/>
          <w:sz w:val="16"/>
          <w:szCs w:val="18"/>
        </w:rPr>
      </w:pPr>
    </w:p>
    <w:p w14:paraId="05B258A9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</w:t>
      </w:r>
      <w:r>
        <w:rPr>
          <w:rFonts w:hint="eastAsia" w:ascii="Microsoft YaHei Bold" w:hAnsi="Microsoft YaHei Bold" w:eastAsia="Microsoft YaHei Bold" w:cs="Microsoft YaHei Bold"/>
          <w:b/>
          <w:bCs/>
        </w:rPr>
        <w:t xml:space="preserve"> 评标规则</w:t>
      </w:r>
    </w:p>
    <w:p w14:paraId="01635D2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①评标委员会首先对所有投标文件进行符合性审查，未通过审查的投标文件，不参与后续综合评分；</w:t>
      </w:r>
    </w:p>
    <w:p w14:paraId="718DE65F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②评标委员会成员独立对通过符合性审查的投标文件打分，打分结果取平均分，作为投标人的最终综合得分；</w:t>
      </w:r>
    </w:p>
    <w:p w14:paraId="105FCE71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③按综合得分从高到低排序，确定1 名中标候选人、2 名备选中标候选人；</w:t>
      </w:r>
    </w:p>
    <w:p w14:paraId="39D852B4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④若投标人综合得分相同，按技术分高低排序；若技术分仍相同，按投标报价从低到高排序；</w:t>
      </w:r>
    </w:p>
    <w:p w14:paraId="12CE60BA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⑤评标结果将在唱标结束后 3 个工作日内，以书面形式通知所有投标人；</w:t>
      </w:r>
    </w:p>
    <w:p w14:paraId="264A913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⑥邀标方拥有本次评标工作的最终解释权。</w:t>
      </w:r>
      <w:bookmarkStart w:id="0" w:name="_GoBack"/>
      <w:bookmarkEnd w:id="0"/>
    </w:p>
    <w:p w14:paraId="3350A38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37B6BA29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项目考核与验收标准</w:t>
      </w:r>
    </w:p>
    <w:p w14:paraId="038503EA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本项目设置执行质量 KPI量化考核指标，投标方需在技术方案中明确具体的达成措施；中标后，邀标方将对项目进行阶段性验收与整体验收，未达成 KPI 的将按本文件第九章违约责任处理。</w:t>
      </w:r>
    </w:p>
    <w:p w14:paraId="4E074E1F">
      <w:pPr>
        <w:ind w:left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项目结束后 7 个工作日内，中标方需向邀标方提交验收结算报告（含搭建制作、现场照片 / 视频、现场物料、三方人员、媒体推广内容链接等）；邀标方按事先约定内容进行整体验收。</w:t>
      </w:r>
    </w:p>
    <w:p w14:paraId="4A16FFE5">
      <w:pPr>
        <w:rPr>
          <w:rFonts w:hint="eastAsia" w:ascii="Microsoft YaHei Regular" w:hAnsi="Microsoft YaHei Regular" w:eastAsia="Microsoft YaHei Regular" w:cs="Microsoft YaHei Regular"/>
        </w:rPr>
      </w:pPr>
    </w:p>
    <w:p w14:paraId="4DA8A36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合同主要条款与履约要求</w:t>
      </w:r>
    </w:p>
    <w:p w14:paraId="42A147D7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1 合同签订</w:t>
      </w:r>
    </w:p>
    <w:p w14:paraId="298B1DA6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评标结果确定后，邀标方将向中标方发出《中标通知书》，中标方需在收到《中标通知书》后 3 个工作日内，与邀标方签订正式的《项目服务合同》；</w:t>
      </w:r>
    </w:p>
    <w:p w14:paraId="7CE4F501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1.2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中标方未按约定时间签订合同，或签订合同后拒绝履行的，邀标方有权取消其中标资格，选择备选中标候选人，并追究中标方的违约责任；</w:t>
      </w:r>
    </w:p>
    <w:p w14:paraId="6AEB0E8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1.3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本邀标文件、中标方的投标文件均为《项目服务合同》的组成部分，与合同具有同等法律效力。</w:t>
      </w:r>
    </w:p>
    <w:p w14:paraId="4AF6C539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</w:t>
      </w:r>
      <w:r>
        <w:rPr>
          <w:rFonts w:hint="eastAsia" w:ascii="Microsoft YaHei Bold" w:hAnsi="Microsoft YaHei Bold" w:eastAsia="Microsoft YaHei Bold" w:cs="Microsoft YaHei Bold"/>
          <w:b/>
          <w:bCs/>
        </w:rPr>
        <w:t xml:space="preserve"> 项目履约要求</w:t>
      </w:r>
    </w:p>
    <w:p w14:paraId="0F5E90B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2.1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工期要求：中标方需按《项目服务合同》约定的时间节点，完成设计交付、会议场地搭建、媒体推广等所有工作，不得擅自延期；确需延期的，需提前 3 个工作日向邀标方提交书面延期申请，经邀标方书面同意后方可延期，否则视为违约。</w:t>
      </w:r>
    </w:p>
    <w:p w14:paraId="7F8C63DD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2.2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整改要求：邀标方有权对项目执行、设计成果、宣发内容等提出修改、整改意见，中标方需在邀标方规定的时间内完成整改，整改费用由中标方承担，且不得因此调整投标报价。</w:t>
      </w:r>
    </w:p>
    <w:p w14:paraId="243533F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2.3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 xml:space="preserve"> 质保期要求：项目整体质保期为项目结束后 30 天；质保期内，若出现设计落地问题、现场展具质量问题、内容侵权问题等，中标方需在 24 小时内响应，并免费完成整改，确保问题解决。</w:t>
      </w:r>
    </w:p>
    <w:p w14:paraId="684D2882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2.4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数据反馈要求：中标方需按本文件约定的时间，向邀标方提交项目各类数据报告，确保数据真实、完整、可追溯；邀标方有权对数据进行核查，若发现数据弄虚作假，视为中标方严重违约。</w:t>
      </w:r>
    </w:p>
    <w:p w14:paraId="194C001C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2.5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人员与物料要求：中标方需按投标文件中承诺的团队配置、物料标准执行项目，不得擅自更换团队成员、降低物料标准；确需更换团队成员的，需提前 3 个工作日向邀标方书面申请，经同意后方可更换。</w:t>
      </w:r>
    </w:p>
    <w:p w14:paraId="2B8FCCA8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3 付款方式</w:t>
      </w:r>
    </w:p>
    <w:p w14:paraId="333234C4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本项目付款均为银行转账，中标方需在每次付款前，向邀标方提供合法、有效的增值税专用发票，否则邀标方有权顺延付款，不承担违约责任；</w:t>
      </w:r>
    </w:p>
    <w:p w14:paraId="7AD620F3">
      <w:pPr>
        <w:ind w:leftChars="100"/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4 违约责任</w:t>
      </w:r>
    </w:p>
    <w:p w14:paraId="74061091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4.1 中标方擅自延期违约：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中标方未按约定时间完成项目工作，且未取得邀标方延期同意的，每延期 1 天，按合同总金额的0.5% 向邀标方支付违约金，违约金累计不超过合同总金额的 20%；延期超过 10 天的，邀标方有权解除合同，收回预付款，并要求中标方赔偿实际损失。</w:t>
      </w:r>
    </w:p>
    <w:p w14:paraId="4F35951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4.2 弄虚作假 / 负面舆情违约：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中标方在项目执行过程中，存在数据弄虚作假、媒体虚假宣传、品牌负面舆情等行为的，邀标方有权立即解除合同，收回所有已付款项，并要求中标方按合同总金额的 30% 支付违约金，赔偿邀标方因此造成的所有损失（含品牌损失、维权费用等）。</w:t>
      </w:r>
    </w:p>
    <w:p w14:paraId="61A89C58">
      <w:pPr>
        <w:ind w:leftChars="100"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>4.3 其他违约：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本文件未约定的违约责任，按《中华人民共和国民法典》相关规定执行。</w:t>
      </w:r>
    </w:p>
    <w:p w14:paraId="6981FC75">
      <w:pPr>
        <w:rPr>
          <w:rFonts w:hint="eastAsia" w:ascii="Microsoft YaHei Regular" w:hAnsi="Microsoft YaHei Regular" w:eastAsia="Microsoft YaHei Regular" w:cs="Microsoft YaHei Regular"/>
        </w:rPr>
      </w:pPr>
    </w:p>
    <w:p w14:paraId="0D2FD1EB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5" w:leftChars="0" w:firstLineChars="0"/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Regular" w:hAnsi="Microsoft YaHei Regular" w:eastAsia="Microsoft YaHei Regular" w:cs="Microsoft YaHei Regular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投标有效期与其他约定</w:t>
      </w:r>
    </w:p>
    <w:p w14:paraId="6E9D7C3C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1 投标有效期</w:t>
      </w:r>
    </w:p>
    <w:p w14:paraId="28E8FE80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书自投标截止之日起三十个工作日内有效；投标有效期比本规定短的，视为非响应性投标，予以拒绝；在投标有效期内，投标人不得擅自撤销、修改投标文件，否则邀标方有权没收其投标相关资料，取消投标资格。</w:t>
      </w:r>
    </w:p>
    <w:p w14:paraId="31FB0F58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2 知识产权</w:t>
      </w:r>
    </w:p>
    <w:p w14:paraId="1199E3E6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2.1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中标方在项目执行过程中提交的设计方案、项目策略、执行方案、传播内容模板等所有成果的知识产权，在邀标方支付全部合同款项后，归邀标方独家所有；</w:t>
      </w:r>
    </w:p>
    <w:p w14:paraId="06048BA6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2.2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中标方不得擅自使用、复制、传播该等知识产权成果，否则邀标方有权追究其中标方的法律责任，要求赔偿损失；</w:t>
      </w:r>
    </w:p>
    <w:p w14:paraId="3BE2D64F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2.3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若中标方提交的设计方案、内容模板等存在知识产权侵权问题，由中标方承担全部法律责任，并赔偿邀标方因此造成的所有损失（含维权费用、品牌损失等）。</w:t>
      </w:r>
    </w:p>
    <w:p w14:paraId="3A2A9F93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3 保密条款</w:t>
      </w:r>
    </w:p>
    <w:p w14:paraId="4726BC2B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3.1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投标人在投标过程中，获取的邀标方商业秘密（含产品信息、项目信息、财务信息、品牌规划等），负有严格的保密义务；</w:t>
      </w:r>
    </w:p>
    <w:p w14:paraId="669627D1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3.2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未经邀标方书面同意，投标人不得向任何第三方泄露上述商业秘密，保密义务在投标结束后持续有效，保密期限为 2 年；</w:t>
      </w:r>
    </w:p>
    <w:p w14:paraId="3A5B4A1A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3.3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若投标人泄露邀标方商业秘密，需赔偿邀标方因此造成的所有损失，邀标方有权取消其投标 / 中标资格。</w:t>
      </w:r>
    </w:p>
    <w:p w14:paraId="22561C91">
      <w:pPr>
        <w:rPr>
          <w:rFonts w:hint="eastAsia" w:ascii="Microsoft YaHei Bold" w:hAnsi="Microsoft YaHei Bold" w:eastAsia="Microsoft YaHei Bold" w:cs="Microsoft YaHei Bold"/>
          <w:b/>
          <w:bCs/>
        </w:rPr>
      </w:pPr>
      <w:r>
        <w:rPr>
          <w:rFonts w:hint="eastAsia" w:ascii="Microsoft YaHei Bold" w:hAnsi="Microsoft YaHei Bold" w:eastAsia="Microsoft YaHei Bold" w:cs="Microsoft YaHei Bold"/>
          <w:b/>
          <w:bCs/>
        </w:rPr>
        <w:t>4 其他约定</w:t>
      </w:r>
    </w:p>
    <w:p w14:paraId="2C88561B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4.1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本邀标文件的最终解释权归立马车业集团有限公司所有；</w:t>
      </w:r>
    </w:p>
    <w:p w14:paraId="21D86DC0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4.2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本邀标文件与正式《项目服务合同》内容不一致的，以正式合同为准；</w:t>
      </w:r>
    </w:p>
    <w:p w14:paraId="6830F694">
      <w:pPr>
        <w:ind w:firstLine="210" w:firstLineChars="1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4.3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本项目执行过程中发生的争议，双方应首先友好协商解决；协商不成的，任何一方均有权向邀标方所在地人民法院提起诉讼；</w:t>
      </w:r>
    </w:p>
    <w:p w14:paraId="31CE0013">
      <w:pPr>
        <w:ind w:firstLine="210" w:firstLineChars="100"/>
        <w:rPr>
          <w:rFonts w:hint="eastAsia" w:ascii="Microsoft YaHei Regular" w:hAnsi="Microsoft YaHei Regular" w:eastAsia="Microsoft YaHei Regular" w:cs="Microsoft YaHei Regular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Bold" w:hAnsi="Microsoft YaHei Bold" w:eastAsia="Microsoft YaHei Bold" w:cs="Microsoft YaHei Bold"/>
          <w:b/>
          <w:bCs/>
          <w:lang w:val="en-US" w:eastAsia="zh-CN"/>
        </w:rPr>
        <w:t xml:space="preserve">4.4 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本邀标文件未尽事宜，由双方协商后签订补充协议，补充协议与本文件具有同等法律效力。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Regular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Microsoft YaHei Bold">
    <w:altName w:val="冬青黑体简体中文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 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F0480"/>
    <w:multiLevelType w:val="multilevel"/>
    <w:tmpl w:val="CF7F048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DE46C833"/>
    <w:multiLevelType w:val="singleLevel"/>
    <w:tmpl w:val="DE46C8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E4EE627"/>
    <w:multiLevelType w:val="singleLevel"/>
    <w:tmpl w:val="FE4EE62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 Bold" w:hAnsi="Times New Roman Bold" w:cs="Times New Roman Bold"/>
        <w:b/>
        <w:bCs/>
      </w:rPr>
    </w:lvl>
  </w:abstractNum>
  <w:abstractNum w:abstractNumId="3">
    <w:nsid w:val="1AFC661B"/>
    <w:multiLevelType w:val="multilevel"/>
    <w:tmpl w:val="1AFC661B"/>
    <w:lvl w:ilvl="0" w:tentative="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16"/>
    <w:rsid w:val="00062EC0"/>
    <w:rsid w:val="00174A06"/>
    <w:rsid w:val="00174A80"/>
    <w:rsid w:val="001758E6"/>
    <w:rsid w:val="00176D98"/>
    <w:rsid w:val="001925CC"/>
    <w:rsid w:val="0028266E"/>
    <w:rsid w:val="002A44A2"/>
    <w:rsid w:val="002D3E6C"/>
    <w:rsid w:val="002F748C"/>
    <w:rsid w:val="00324465"/>
    <w:rsid w:val="003A0E69"/>
    <w:rsid w:val="003A5199"/>
    <w:rsid w:val="003D1C58"/>
    <w:rsid w:val="00433ECB"/>
    <w:rsid w:val="00455EBC"/>
    <w:rsid w:val="0046694F"/>
    <w:rsid w:val="0048713D"/>
    <w:rsid w:val="00495CC7"/>
    <w:rsid w:val="004B6B66"/>
    <w:rsid w:val="004F20D8"/>
    <w:rsid w:val="004F3790"/>
    <w:rsid w:val="00560FDB"/>
    <w:rsid w:val="005648F6"/>
    <w:rsid w:val="00591994"/>
    <w:rsid w:val="0066623C"/>
    <w:rsid w:val="00666278"/>
    <w:rsid w:val="00694DBE"/>
    <w:rsid w:val="006C2CEA"/>
    <w:rsid w:val="006C2DE2"/>
    <w:rsid w:val="006D6EEA"/>
    <w:rsid w:val="007174E6"/>
    <w:rsid w:val="00743E3D"/>
    <w:rsid w:val="007A40CD"/>
    <w:rsid w:val="007C1173"/>
    <w:rsid w:val="008179A0"/>
    <w:rsid w:val="008A664A"/>
    <w:rsid w:val="008E5D47"/>
    <w:rsid w:val="009200B0"/>
    <w:rsid w:val="00967D5A"/>
    <w:rsid w:val="00A023F9"/>
    <w:rsid w:val="00A14818"/>
    <w:rsid w:val="00AD47AB"/>
    <w:rsid w:val="00B860C4"/>
    <w:rsid w:val="00B971AE"/>
    <w:rsid w:val="00BA04B7"/>
    <w:rsid w:val="00BA1216"/>
    <w:rsid w:val="00C00C8C"/>
    <w:rsid w:val="00C227B0"/>
    <w:rsid w:val="00C47836"/>
    <w:rsid w:val="00CC7A90"/>
    <w:rsid w:val="00CF3FB5"/>
    <w:rsid w:val="00D55BE5"/>
    <w:rsid w:val="00D66FD0"/>
    <w:rsid w:val="00E14611"/>
    <w:rsid w:val="00E317E6"/>
    <w:rsid w:val="00E64F2C"/>
    <w:rsid w:val="00E7075A"/>
    <w:rsid w:val="00E82BFD"/>
    <w:rsid w:val="00ED249C"/>
    <w:rsid w:val="00EF6560"/>
    <w:rsid w:val="00F57832"/>
    <w:rsid w:val="01F1157B"/>
    <w:rsid w:val="04D24326"/>
    <w:rsid w:val="0A6E0B9B"/>
    <w:rsid w:val="0B2B2002"/>
    <w:rsid w:val="0C8353F1"/>
    <w:rsid w:val="195F1A34"/>
    <w:rsid w:val="1EBD3B62"/>
    <w:rsid w:val="1ECB1329"/>
    <w:rsid w:val="20732283"/>
    <w:rsid w:val="21B47994"/>
    <w:rsid w:val="21E06099"/>
    <w:rsid w:val="246E0E0B"/>
    <w:rsid w:val="27F94982"/>
    <w:rsid w:val="28771207"/>
    <w:rsid w:val="2D287BC3"/>
    <w:rsid w:val="2E427977"/>
    <w:rsid w:val="2FE106D3"/>
    <w:rsid w:val="300701D9"/>
    <w:rsid w:val="31A85D6B"/>
    <w:rsid w:val="33633938"/>
    <w:rsid w:val="36502E6A"/>
    <w:rsid w:val="36A14213"/>
    <w:rsid w:val="372D7B6D"/>
    <w:rsid w:val="37D5297C"/>
    <w:rsid w:val="3A905BD9"/>
    <w:rsid w:val="3B770DC8"/>
    <w:rsid w:val="3C043357"/>
    <w:rsid w:val="3C764861"/>
    <w:rsid w:val="42383FAC"/>
    <w:rsid w:val="434304EA"/>
    <w:rsid w:val="489D2DBB"/>
    <w:rsid w:val="4A3541D6"/>
    <w:rsid w:val="4AD23989"/>
    <w:rsid w:val="4B1E1952"/>
    <w:rsid w:val="4BDB3090"/>
    <w:rsid w:val="4D1A2C2C"/>
    <w:rsid w:val="4E1C41B2"/>
    <w:rsid w:val="503C1881"/>
    <w:rsid w:val="511A58F1"/>
    <w:rsid w:val="534F07A8"/>
    <w:rsid w:val="543A1E06"/>
    <w:rsid w:val="551B053A"/>
    <w:rsid w:val="5917376F"/>
    <w:rsid w:val="592F0045"/>
    <w:rsid w:val="5CB36BF9"/>
    <w:rsid w:val="5CC76201"/>
    <w:rsid w:val="5D8C0119"/>
    <w:rsid w:val="5D982E1B"/>
    <w:rsid w:val="626827CC"/>
    <w:rsid w:val="6315416A"/>
    <w:rsid w:val="631571E5"/>
    <w:rsid w:val="63950E07"/>
    <w:rsid w:val="654E74BF"/>
    <w:rsid w:val="726739DF"/>
    <w:rsid w:val="730F11EA"/>
    <w:rsid w:val="74CC180A"/>
    <w:rsid w:val="77E33538"/>
    <w:rsid w:val="78775A95"/>
    <w:rsid w:val="79E26A94"/>
    <w:rsid w:val="7DEB07BA"/>
    <w:rsid w:val="7E7A0ECD"/>
    <w:rsid w:val="C5FF6280"/>
    <w:rsid w:val="D3DDB539"/>
    <w:rsid w:val="F9FB5BFA"/>
    <w:rsid w:val="FB5FEA6D"/>
    <w:rsid w:val="FDAF7B43"/>
    <w:rsid w:val="FEDFB0AC"/>
    <w:rsid w:val="FEFF367F"/>
    <w:rsid w:val="FFF7F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8294</Words>
  <Characters>8635</Characters>
  <Lines>15</Lines>
  <Paragraphs>4</Paragraphs>
  <TotalTime>2</TotalTime>
  <ScaleCrop>false</ScaleCrop>
  <LinksUpToDate>false</LinksUpToDate>
  <CharactersWithSpaces>8961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2023-01-03T09:54:00Z</dcterms:created>
  <dc:creator>Administrator</dc:creator>
  <cp:lastModifiedBy>yl.C</cp:lastModifiedBy>
  <cp:lastPrinted>2023-01-13T13:14:00Z</cp:lastPrinted>
  <dcterms:modified xsi:type="dcterms:W3CDTF">2026-04-14T03:49:40Z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9A68E1B5286249EDAB53CB7B5B1D3814_13</vt:lpwstr>
  </property>
  <property fmtid="{D5CDD505-2E9C-101B-9397-08002B2CF9AE}" pid="4" name="KSOTemplateDocerSaveRecord">
    <vt:lpwstr>eyJoZGlkIjoiOTk3ZmZjMDE2NmZhOGE1N2QxYTBiOGQyNWMzNzRmM2EiLCJ1c2VySWQiOiIxMTU2NDYxMzk2In0=</vt:lpwstr>
  </property>
</Properties>
</file>