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5BFE2"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Microsoft YaHei Regular" w:hAnsi="Microsoft YaHei Regular" w:eastAsia="Microsoft YaHei Regular" w:cs="Microsoft YaHei Regular"/>
          <w:color w:val="333333"/>
          <w:sz w:val="96"/>
          <w:szCs w:val="96"/>
        </w:rPr>
      </w:pPr>
    </w:p>
    <w:p w14:paraId="4649F870"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Microsoft YaHei Regular" w:hAnsi="Microsoft YaHei Regular" w:eastAsia="Microsoft YaHei Regular" w:cs="Microsoft YaHei Regular"/>
          <w:color w:val="333333"/>
          <w:sz w:val="96"/>
          <w:szCs w:val="96"/>
        </w:rPr>
      </w:pPr>
    </w:p>
    <w:p w14:paraId="7A35D09F">
      <w:pPr>
        <w:pStyle w:val="4"/>
        <w:shd w:val="clear" w:color="auto" w:fill="FFFFFF"/>
        <w:spacing w:before="0" w:beforeAutospacing="0" w:after="0" w:afterAutospacing="0"/>
        <w:ind w:firstLine="4400" w:firstLineChars="200"/>
        <w:jc w:val="both"/>
        <w:rPr>
          <w:rFonts w:hint="eastAsia" w:ascii="Microsoft YaHei Regular" w:hAnsi="Microsoft YaHei Regular" w:eastAsia="Microsoft YaHei Regular" w:cs="Microsoft YaHei Regular"/>
          <w:color w:val="333333"/>
          <w:sz w:val="220"/>
          <w:szCs w:val="220"/>
        </w:rPr>
      </w:pPr>
      <w:r>
        <w:rPr>
          <w:rFonts w:hint="eastAsia" w:ascii="Microsoft YaHei Regular" w:hAnsi="Microsoft YaHei Regular" w:eastAsia="Microsoft YaHei Regular" w:cs="Microsoft YaHei Regular"/>
          <w:color w:val="333333"/>
          <w:sz w:val="220"/>
          <w:szCs w:val="220"/>
        </w:rPr>
        <w:t>招</w:t>
      </w:r>
    </w:p>
    <w:p w14:paraId="6E70C0B3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ascii="Microsoft YaHei Regular" w:hAnsi="Microsoft YaHei Regular" w:eastAsia="Microsoft YaHei Regular" w:cs="Microsoft YaHei Regular"/>
          <w:color w:val="333333"/>
          <w:sz w:val="220"/>
          <w:szCs w:val="220"/>
        </w:rPr>
      </w:pPr>
      <w:r>
        <w:rPr>
          <w:rFonts w:hint="eastAsia" w:ascii="Microsoft YaHei Regular" w:hAnsi="Microsoft YaHei Regular" w:eastAsia="Microsoft YaHei Regular" w:cs="Microsoft YaHei Regular"/>
          <w:color w:val="333333"/>
          <w:sz w:val="220"/>
          <w:szCs w:val="220"/>
        </w:rPr>
        <w:t>标</w:t>
      </w:r>
    </w:p>
    <w:p w14:paraId="5D257838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ascii="Microsoft YaHei Regular" w:hAnsi="Microsoft YaHei Regular" w:eastAsia="Microsoft YaHei Regular" w:cs="Microsoft YaHei Regular"/>
          <w:color w:val="333333"/>
          <w:sz w:val="220"/>
          <w:szCs w:val="220"/>
        </w:rPr>
      </w:pPr>
      <w:r>
        <w:rPr>
          <w:rFonts w:hint="eastAsia" w:ascii="Microsoft YaHei Regular" w:hAnsi="Microsoft YaHei Regular" w:eastAsia="Microsoft YaHei Regular" w:cs="Microsoft YaHei Regular"/>
          <w:color w:val="333333"/>
          <w:sz w:val="220"/>
          <w:szCs w:val="220"/>
        </w:rPr>
        <w:t>书</w:t>
      </w:r>
    </w:p>
    <w:p w14:paraId="4F515DA5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2F891E35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049AD143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7AF5FA26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22F7CDD3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4AF59AE5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40AA42FD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27CB7075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617D4D98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19062A7B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286797C2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512F1105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邀标文件编号：LIMA -ZJ-2026(ZB008)</w:t>
      </w:r>
    </w:p>
    <w:p w14:paraId="0B85D2D0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邀标单位：立马车业集团有限公司</w:t>
      </w:r>
    </w:p>
    <w:p w14:paraId="3B576860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地 址：浙江省台州市椒江区滨海工业区甲南大道立马车业集团</w:t>
      </w:r>
    </w:p>
    <w:p w14:paraId="75F7F739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发布日期：2026 年 04 月 08 日</w:t>
      </w:r>
    </w:p>
    <w:p w14:paraId="7E4ACA1F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投标截止时间：2026 年 04 月 26 日 17:00</w:t>
      </w:r>
    </w:p>
    <w:p w14:paraId="7DC8A329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唱标 / 开标时间：2026 年 04 月 27 日 13:00</w:t>
      </w:r>
    </w:p>
    <w:p w14:paraId="7AF8E2BD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联系人：金叶 ，联系电话：13216061309 ，邮箱：ppzxjy@shanghailima.com</w:t>
      </w:r>
    </w:p>
    <w:p w14:paraId="1415F3E4">
      <w:pPr>
        <w:pStyle w:val="4"/>
        <w:shd w:val="clear" w:color="auto" w:fill="FFFFFF"/>
        <w:spacing w:before="0" w:beforeAutospacing="0" w:after="0" w:afterAutospacing="0"/>
        <w:rPr>
          <w:rFonts w:hint="eastAsia" w:ascii="Microsoft YaHei Regular" w:hAnsi="Microsoft YaHei Regular" w:eastAsia="Microsoft YaHei Regular" w:cs="Microsoft YaHei Regular"/>
          <w:color w:val="333333"/>
          <w:sz w:val="27"/>
          <w:szCs w:val="27"/>
        </w:rPr>
      </w:pPr>
    </w:p>
    <w:p w14:paraId="46CA1257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32"/>
          <w:szCs w:val="32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32"/>
          <w:szCs w:val="32"/>
        </w:rPr>
        <w:t>邀标邀请书</w:t>
      </w:r>
    </w:p>
    <w:p w14:paraId="0A290CAB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立马车业集团有限公司是专业从事新能源交通工具产品研发、生产制造、应用推广于一体的大型集团化高新技术企业。公司成立于 2003 年，是国内知名的电动车整车生产制造商之一。</w:t>
      </w:r>
    </w:p>
    <w:p w14:paraId="40BE154B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现针对2026 立马品牌新媒体全年爆品策略推广项目进行定向邀请招标，本项目以品牌产品声量提升、爆品深度传播、重点市场爆品深耕、私域流量沉淀与转化为核心目标，覆盖小红书、抖音平台、全渠道达人合作及精准投流运营，打造线上线下协同的新媒体传播矩阵，实现品牌价值、爆品推广与市场转化的多重提升。现邀请具备新能源 / 交通工具行业新媒体运营、千万级投流操盘、海量达人资源整合经验的合格单位参加投标，有关事项如下：</w:t>
      </w:r>
    </w:p>
    <w:p w14:paraId="07CE28B1">
      <w:pPr>
        <w:numPr>
          <w:ilvl w:val="0"/>
          <w:numId w:val="2"/>
        </w:numPr>
        <w:ind w:leftChars="100" w:firstLine="422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lang w:val="en-US" w:eastAsia="zh-CN"/>
        </w:rPr>
        <w:t>邀标项目名称：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2026 立马品牌新媒体全年爆品策略推广项目</w:t>
      </w:r>
    </w:p>
    <w:p w14:paraId="7E4B6250">
      <w:pPr>
        <w:numPr>
          <w:ilvl w:val="0"/>
          <w:numId w:val="2"/>
        </w:numPr>
        <w:ind w:leftChars="100" w:firstLine="422" w:firstLineChars="200"/>
        <w:rPr>
          <w:rFonts w:hint="eastAsia" w:ascii="Microsoft YaHei Regular" w:hAnsi="Microsoft YaHei Regular" w:eastAsia="Microsoft YaHei Regular" w:cs="Microsoft YaHei Regular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highlight w:val="none"/>
          <w:lang w:val="en-US" w:eastAsia="zh-CN"/>
        </w:rPr>
        <w:t>项目活动周期：</w:t>
      </w:r>
      <w:r>
        <w:rPr>
          <w:rFonts w:hint="eastAsia" w:ascii="Microsoft YaHei Regular" w:hAnsi="Microsoft YaHei Regular" w:eastAsia="Microsoft YaHei Regular" w:cs="Microsoft YaHei Regular"/>
          <w:highlight w:val="none"/>
          <w:lang w:val="en-US" w:eastAsia="zh-CN"/>
        </w:rPr>
        <w:t>2026 年4月-2027 年4月</w:t>
      </w:r>
    </w:p>
    <w:p w14:paraId="6329D211">
      <w:pPr>
        <w:numPr>
          <w:ilvl w:val="0"/>
          <w:numId w:val="2"/>
        </w:numPr>
        <w:ind w:leftChars="100" w:firstLine="422" w:firstLineChars="200"/>
        <w:rPr>
          <w:rFonts w:hint="eastAsia" w:ascii="Microsoft YaHei Regular" w:hAnsi="Microsoft YaHei Regular" w:eastAsia="Microsoft YaHei Regular" w:cs="Microsoft YaHei Regular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highlight w:val="none"/>
        </w:rPr>
        <w:t>项目服务范围：</w:t>
      </w:r>
      <w:r>
        <w:rPr>
          <w:rFonts w:hint="eastAsia" w:ascii="Microsoft YaHei Regular" w:hAnsi="Microsoft YaHei Regular" w:eastAsia="Microsoft YaHei Regular" w:cs="Microsoft YaHei Regular"/>
          <w:highlight w:val="none"/>
          <w:lang w:val="en-US" w:eastAsia="zh-CN"/>
        </w:rPr>
        <w:t>本项目服务范围为全国全域</w:t>
      </w:r>
      <w:r>
        <w:rPr>
          <w:rFonts w:hint="default" w:ascii="Microsoft YaHei Regular" w:hAnsi="Microsoft YaHei Regular" w:eastAsia="Microsoft YaHei Regular" w:cs="Microsoft YaHei Regular"/>
          <w:highlight w:val="none"/>
          <w:lang w:val="en-US" w:eastAsia="zh-CN"/>
        </w:rPr>
        <w:t>。服务方需基于品牌方的整体营销节奏，提供体系化的线上整合运营，并能够紧密配合</w:t>
      </w:r>
      <w:r>
        <w:rPr>
          <w:rFonts w:hint="eastAsia" w:ascii="Microsoft YaHei Regular" w:hAnsi="Microsoft YaHei Regular" w:eastAsia="Microsoft YaHei Regular" w:cs="Microsoft YaHei Regular"/>
          <w:highlight w:val="none"/>
          <w:lang w:val="en-US" w:eastAsia="zh-CN"/>
        </w:rPr>
        <w:t>产品营销节奏、</w:t>
      </w:r>
      <w:r>
        <w:rPr>
          <w:rFonts w:hint="default" w:ascii="Microsoft YaHei Regular" w:hAnsi="Microsoft YaHei Regular" w:eastAsia="Microsoft YaHei Regular" w:cs="Microsoft YaHei Regular"/>
          <w:highlight w:val="none"/>
          <w:lang w:val="en-US" w:eastAsia="zh-CN"/>
        </w:rPr>
        <w:t>公司线下活动、品牌发布会等关键节点，完成在</w:t>
      </w:r>
      <w:r>
        <w:rPr>
          <w:rFonts w:hint="eastAsia" w:ascii="Microsoft YaHei Regular" w:hAnsi="Microsoft YaHei Regular" w:eastAsia="Microsoft YaHei Regular" w:cs="Microsoft YaHei Regular"/>
          <w:highlight w:val="none"/>
          <w:lang w:val="en-US" w:eastAsia="zh-CN"/>
        </w:rPr>
        <w:t>重点城市</w:t>
      </w:r>
      <w:r>
        <w:rPr>
          <w:rFonts w:hint="default" w:ascii="Microsoft YaHei Regular" w:hAnsi="Microsoft YaHei Regular" w:eastAsia="Microsoft YaHei Regular" w:cs="Microsoft YaHei Regular"/>
          <w:highlight w:val="none"/>
          <w:lang w:val="en-US" w:eastAsia="zh-CN"/>
        </w:rPr>
        <w:t>的</w:t>
      </w:r>
      <w:r>
        <w:rPr>
          <w:rFonts w:hint="eastAsia" w:ascii="Microsoft YaHei Regular" w:hAnsi="Microsoft YaHei Regular" w:eastAsia="Microsoft YaHei Regular" w:cs="Microsoft YaHei Regular"/>
          <w:highlight w:val="none"/>
          <w:lang w:val="en-US" w:eastAsia="zh-CN"/>
        </w:rPr>
        <w:t>本地化落地执行</w:t>
      </w:r>
      <w:r>
        <w:rPr>
          <w:rFonts w:hint="default" w:ascii="Microsoft YaHei Regular" w:hAnsi="Microsoft YaHei Regular" w:eastAsia="Microsoft YaHei Regular" w:cs="Microsoft YaHei Regular"/>
          <w:highlight w:val="none"/>
          <w:lang w:val="en-US" w:eastAsia="zh-CN"/>
        </w:rPr>
        <w:t>。</w:t>
      </w:r>
    </w:p>
    <w:p w14:paraId="1A9D3660">
      <w:pPr>
        <w:numPr>
          <w:ilvl w:val="0"/>
          <w:numId w:val="2"/>
        </w:numPr>
        <w:ind w:leftChars="100" w:firstLine="422" w:firstLineChars="200"/>
        <w:rPr>
          <w:rFonts w:hint="eastAsia" w:ascii="Microsoft YaHei Regular" w:hAnsi="Microsoft YaHei Regular" w:eastAsia="Microsoft YaHei Regular" w:cs="Microsoft YaHei Regular"/>
          <w:highlight w:val="none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kern w:val="2"/>
          <w:sz w:val="21"/>
          <w:szCs w:val="22"/>
          <w:highlight w:val="none"/>
          <w:lang w:val="en-US" w:eastAsia="zh-CN" w:bidi="ar-SA"/>
        </w:rPr>
        <w:t>项目内容呈现：</w:t>
      </w:r>
      <w:r>
        <w:rPr>
          <w:rFonts w:hint="eastAsia" w:ascii="Microsoft YaHei Regular" w:hAnsi="Microsoft YaHei Regular" w:eastAsia="Microsoft YaHei Regular" w:cs="Microsoft YaHei Regular"/>
          <w:highlight w:val="none"/>
          <w:lang w:val="en-US" w:eastAsia="zh-CN"/>
        </w:rPr>
        <w:t>本项目以爆品营销为核心目标，覆盖抖音、小红书双平台爆品策略与增长路径、内容策略与素材生产、达人合作、投流策略、平台资源整合、产品体验与数据分析与优化，打造可规模复制的爆款内容，构建可持续投流素材池。</w:t>
      </w:r>
    </w:p>
    <w:p w14:paraId="0EFDFEAC">
      <w:pPr>
        <w:numPr>
          <w:ilvl w:val="0"/>
          <w:numId w:val="2"/>
        </w:numPr>
        <w:ind w:leftChars="100" w:firstLine="422" w:firstLineChars="200"/>
        <w:rPr>
          <w:rFonts w:hint="eastAsia" w:ascii="Microsoft YaHei Regular" w:hAnsi="Microsoft YaHei Regular" w:eastAsia="Microsoft YaHei Regular" w:cs="Microsoft YaHei Regular"/>
          <w:highlight w:val="none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kern w:val="2"/>
          <w:sz w:val="21"/>
          <w:szCs w:val="22"/>
          <w:highlight w:val="none"/>
          <w:lang w:val="en-US" w:eastAsia="zh-CN" w:bidi="ar-SA"/>
        </w:rPr>
        <w:t>项目总预算：</w:t>
      </w:r>
      <w:r>
        <w:rPr>
          <w:rFonts w:hint="eastAsia" w:ascii="Microsoft YaHei Regular" w:hAnsi="Microsoft YaHei Regular" w:eastAsia="Microsoft YaHei Regular" w:cs="Microsoft YaHei Regular"/>
          <w:highlight w:val="none"/>
          <w:lang w:val="en-US" w:eastAsia="zh-CN"/>
        </w:rPr>
        <w:t>本项目总预算为人民币壹仟万元整（¥10,000,000），为含税全包价。</w:t>
      </w:r>
    </w:p>
    <w:p w14:paraId="40218364">
      <w:pPr>
        <w:numPr>
          <w:ilvl w:val="0"/>
          <w:numId w:val="0"/>
        </w:numPr>
        <w:spacing w:before="120" w:after="120" w:line="288" w:lineRule="auto"/>
        <w:ind w:left="218" w:leftChars="104" w:firstLine="0" w:firstLineChars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Times New Roman Bold" w:hAnsi="Times New Roman Bold" w:eastAsia="Microsoft YaHei Regular" w:cs="Times New Roman Bold"/>
          <w:b/>
          <w:bCs/>
          <w:kern w:val="0"/>
          <w:sz w:val="22"/>
          <w:lang w:val="en-US" w:eastAsia="zh-CN"/>
        </w:rPr>
        <w:t>6</w:t>
      </w:r>
      <w:r>
        <w:rPr>
          <w:rFonts w:hint="default" w:ascii="Times New Roman Bold" w:hAnsi="Times New Roman Bold" w:eastAsia="Microsoft YaHei Regular" w:cs="Times New Roman Bold"/>
          <w:b/>
          <w:bCs/>
          <w:kern w:val="0"/>
          <w:sz w:val="22"/>
          <w:lang w:val="en-US" w:eastAsia="zh-CN"/>
        </w:rPr>
        <w:t>.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邀标文件获取方式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6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.1 线下：浙江省台州市椒江区滨海工业区甲南大道立马车业集团品牌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中心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6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.2 线上：联系邀标方联系人获取电子版邀标文件</w:t>
      </w:r>
    </w:p>
    <w:p w14:paraId="0EDC25FC">
      <w:pPr>
        <w:numPr>
          <w:ilvl w:val="0"/>
          <w:numId w:val="0"/>
        </w:numPr>
        <w:spacing w:before="120" w:after="120" w:line="288" w:lineRule="auto"/>
        <w:ind w:left="218" w:leftChars="104" w:firstLine="0" w:firstLineChars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Times New Roman Bold" w:hAnsi="Times New Roman Bold" w:eastAsia="Microsoft YaHei Regular" w:cs="Times New Roman Bold"/>
          <w:b/>
          <w:bCs/>
          <w:kern w:val="0"/>
          <w:sz w:val="22"/>
          <w:lang w:val="en-US" w:eastAsia="zh-CN"/>
        </w:rPr>
        <w:t>7</w:t>
      </w:r>
      <w:r>
        <w:rPr>
          <w:rFonts w:hint="default" w:ascii="Times New Roman Bold" w:hAnsi="Times New Roman Bold" w:eastAsia="Microsoft YaHei Regular" w:cs="Times New Roman Bold"/>
          <w:b/>
          <w:bCs/>
          <w:kern w:val="0"/>
          <w:sz w:val="22"/>
          <w:lang w:val="en-US" w:eastAsia="zh-CN"/>
        </w:rPr>
        <w:t>.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时间节点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7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.1 投标人参加邀标确认：2026 年 04 月 21 日 13:00 前通过邮件 + 书面回函双重确认（回函模板见附件 1）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7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.2 投标文件递交截止时间：2026 年04月 26 日 17:00 前（逾期递交视为无效投标）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7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.3 唱标 / 开标时间：2026 年 04 月 27 日 (具体时间双方协商确认）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7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.4 投标 / 开标地点：立马车业集团会议室，纸质投标文件可邮寄至邀标单位地址</w:t>
      </w:r>
    </w:p>
    <w:p w14:paraId="7AB9B20B">
      <w:pPr>
        <w:numPr>
          <w:ilvl w:val="0"/>
          <w:numId w:val="0"/>
        </w:numPr>
        <w:spacing w:before="120" w:after="120" w:line="288" w:lineRule="auto"/>
        <w:ind w:firstLine="221" w:firstLineChars="100"/>
        <w:jc w:val="left"/>
        <w:rPr>
          <w:rFonts w:hint="eastAsia" w:ascii="Microsoft YaHei Regular" w:hAnsi="Microsoft YaHei Regular" w:eastAsia="Microsoft YaHei Regular" w:cs="Microsoft YaHei Regular"/>
          <w:kern w:val="0"/>
          <w:sz w:val="22"/>
        </w:rPr>
      </w:pPr>
      <w:r>
        <w:rPr>
          <w:rFonts w:hint="eastAsia" w:ascii="Times New Roman Bold" w:hAnsi="Times New Roman Bold" w:eastAsia="Microsoft YaHei Regular" w:cs="Times New Roman Bold"/>
          <w:b/>
          <w:bCs/>
          <w:kern w:val="0"/>
          <w:sz w:val="22"/>
          <w:lang w:val="en-US" w:eastAsia="zh-CN"/>
        </w:rPr>
        <w:t>8</w:t>
      </w:r>
      <w:r>
        <w:rPr>
          <w:rFonts w:hint="default" w:ascii="Times New Roman Bold" w:hAnsi="Times New Roman Bold" w:eastAsia="Microsoft YaHei Regular" w:cs="Times New Roman Bold"/>
          <w:b/>
          <w:bCs/>
          <w:kern w:val="0"/>
          <w:sz w:val="22"/>
          <w:lang w:val="en-US" w:eastAsia="zh-CN"/>
        </w:rPr>
        <w:t>.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投标文件递交要求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</w:t>
      </w:r>
      <w:r>
        <w:rPr>
          <w:rFonts w:hint="eastAsia" w:ascii="PingFang SC Regular" w:hAnsi="PingFang SC Regular" w:eastAsia="PingFang SC Regular" w:cs="PingFang SC Regular"/>
          <w:lang w:val="en-US" w:eastAsia="zh-CN"/>
        </w:rPr>
        <w:t>电子版或纸质版一式伍份（正本壹份，副本肆份），纸质版与电子版内容一致。</w:t>
      </w:r>
    </w:p>
    <w:p w14:paraId="64768B53">
      <w:pPr>
        <w:numPr>
          <w:ilvl w:val="0"/>
          <w:numId w:val="0"/>
        </w:numPr>
        <w:spacing w:before="120" w:after="120" w:line="288" w:lineRule="auto"/>
        <w:ind w:left="218" w:leftChars="104" w:firstLine="0" w:firstLineChars="0"/>
        <w:jc w:val="left"/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</w:pPr>
      <w:r>
        <w:rPr>
          <w:rFonts w:hint="eastAsia" w:ascii="Times New Roman Bold" w:hAnsi="Times New Roman Bold" w:eastAsia="Microsoft YaHei Regular" w:cs="Times New Roman Bold"/>
          <w:b/>
          <w:bCs/>
          <w:kern w:val="0"/>
          <w:sz w:val="22"/>
          <w:lang w:val="en-US" w:eastAsia="zh-CN"/>
        </w:rPr>
        <w:t>9</w:t>
      </w:r>
      <w:r>
        <w:rPr>
          <w:rFonts w:hint="default" w:ascii="Times New Roman Bold" w:hAnsi="Times New Roman Bold" w:eastAsia="Microsoft YaHei Regular" w:cs="Times New Roman Bold"/>
          <w:b/>
          <w:bCs/>
          <w:kern w:val="0"/>
          <w:sz w:val="22"/>
          <w:lang w:val="en-US" w:eastAsia="zh-CN"/>
        </w:rPr>
        <w:t>.</w:t>
      </w:r>
      <w:r>
        <w:rPr>
          <w:rFonts w:hint="eastAsia" w:ascii="Times New Roman Bold" w:hAnsi="Times New Roman Bold" w:eastAsia="Microsoft YaHei Regular" w:cs="Times New Roman Bold"/>
          <w:b/>
          <w:bCs/>
          <w:kern w:val="0"/>
          <w:sz w:val="22"/>
          <w:lang w:val="en-US" w:eastAsia="zh-CN"/>
        </w:rPr>
        <w:t>项目平台策略要求：</w:t>
      </w:r>
      <w:r>
        <w:rPr>
          <w:rFonts w:hint="eastAsia" w:ascii="Times New Roman Bold" w:hAnsi="Times New Roman Bold" w:eastAsia="Microsoft YaHei Regular" w:cs="Times New Roman Bold"/>
          <w:b/>
          <w:bCs/>
          <w:kern w:val="0"/>
          <w:sz w:val="22"/>
          <w:lang w:val="en-US" w:eastAsia="zh-CN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9.1本项目需围绕抖音、小红书双平台特性，分别制定各平台差异化的爆品营销全案，涵盖平台专属的内容策略、达人合作、投流打法、增长路径及素材生产体系。</w:t>
      </w:r>
    </w:p>
    <w:p w14:paraId="67508B6D">
      <w:pPr>
        <w:numPr>
          <w:ilvl w:val="0"/>
          <w:numId w:val="0"/>
        </w:numPr>
        <w:spacing w:before="120" w:after="120" w:line="288" w:lineRule="auto"/>
        <w:ind w:firstLine="220" w:firstLineChars="100"/>
        <w:jc w:val="left"/>
        <w:rPr>
          <w:rFonts w:hint="default" w:ascii="Microsoft YaHei Regular" w:hAnsi="Microsoft YaHei Regular" w:eastAsia="Microsoft YaHei Regular" w:cs="Microsoft YaHei Regular"/>
          <w:kern w:val="0"/>
          <w:sz w:val="22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9.2投标人可结合自身团队优势、资源储备与平台运营经验，自主选择运营平台（抖音或小红书），制定针对性的运营方案。</w:t>
      </w:r>
    </w:p>
    <w:p w14:paraId="0EA58641">
      <w:pPr>
        <w:spacing w:before="320" w:after="120" w:line="288" w:lineRule="auto"/>
        <w:ind w:left="0"/>
        <w:jc w:val="left"/>
        <w:outlineLvl w:val="1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0" w:name="heading_1"/>
      <w:r>
        <w:rPr>
          <w:rFonts w:hint="eastAsia" w:ascii="Microsoft YaHei Regular" w:hAnsi="Microsoft YaHei Regular" w:eastAsia="Microsoft YaHei Regular" w:cs="Microsoft YaHei Regular"/>
          <w:b/>
          <w:kern w:val="0"/>
          <w:sz w:val="32"/>
        </w:rPr>
        <w:t>第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32"/>
          <w:lang w:val="en-US" w:eastAsia="zh-CN"/>
        </w:rPr>
        <w:t>二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32"/>
        </w:rPr>
        <w:t>章 项目核心需求细则</w:t>
      </w:r>
      <w:bookmarkEnd w:id="0"/>
    </w:p>
    <w:p w14:paraId="00C31808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</w:pPr>
      <w:bookmarkStart w:id="1" w:name="heading_8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  <w:lang w:val="en-US" w:eastAsia="zh-CN"/>
        </w:rPr>
        <w:t>一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、核心目标要求</w:t>
      </w:r>
    </w:p>
    <w:p w14:paraId="0444226A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Microsoft YaHei Regular" w:hAnsi="Microsoft YaHei Regular" w:eastAsia="Microsoft YaHei Regular" w:cs="Microsoft YaHei Regular"/>
          <w:kern w:val="0"/>
          <w:sz w:val="22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以爆品营销为核心，紧扣重点区域布局、贴合产品节奏规划，构建闭环运营体系，确保各环节高效衔接、协同发力，实现重点区域突破与产品节奏精准匹配。</w:t>
      </w:r>
    </w:p>
    <w:p w14:paraId="3E0BB4CE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重点区域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结合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项目核心重点区域，制定差异化爆品营销及投放策略。</w:t>
      </w:r>
    </w:p>
    <w:p w14:paraId="1632D4CA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  <w:lang w:val="en-US" w:eastAsia="zh-CN"/>
        </w:rPr>
        <w:t>爆品策略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：结合产品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节奏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，制定清晰的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爆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品营销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策略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，明确各阶段核心目标、内容重点、投流力度、达人合作方向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等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。</w:t>
      </w:r>
    </w:p>
    <w:p w14:paraId="1F67B9F1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  <w:sz w:val="22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  <w:lang w:val="en-US" w:eastAsia="zh-CN"/>
        </w:rPr>
        <w:t>项目kpi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：流量指标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eastAsia="zh-CN"/>
        </w:rPr>
        <w:t>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销售转化指标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eastAsia="zh-CN"/>
        </w:rPr>
        <w:t>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内容运营指标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eastAsia="zh-CN"/>
        </w:rPr>
        <w:t>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区域效果指标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eastAsia="zh-CN"/>
        </w:rPr>
        <w:t>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用户增长指标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等。</w:t>
      </w:r>
    </w:p>
    <w:p w14:paraId="7A687152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  <w:lang w:val="en-US" w:eastAsia="zh-CN"/>
        </w:rPr>
        <w:t>二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、团队与技术保障需求</w:t>
      </w:r>
      <w:bookmarkEnd w:id="1"/>
    </w:p>
    <w:p w14:paraId="47A398E9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团队配置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：配备完整的新媒体全案运营团队，人员分工明确且均具备新能源 / 交通工具行业相关运营经验。</w:t>
      </w:r>
    </w:p>
    <w:p w14:paraId="6474BCB6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技术保障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：配备专业的新媒体运营技术工具，包括内容制作工具、数据监测工具、投流优化工具、粉丝管理工具等；建立全平台运营应急预案，针对平台算法调整、内容违规、投流异常、达人合作突发问题等制定应对措施，确保项目运营全程稳定，故障响应时间不超过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1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小时，故障解决时间不超过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2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小时。</w:t>
      </w:r>
    </w:p>
    <w:p w14:paraId="5A15A4DC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" w:name="heading_9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  <w:lang w:val="en-US" w:eastAsia="zh-CN"/>
        </w:rPr>
        <w:t>三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、内容品控与数据复盘需求</w:t>
      </w:r>
      <w:bookmarkEnd w:id="2"/>
    </w:p>
    <w:p w14:paraId="1B0350AC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内容品控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：建立全平台内容品控体系，所有发布的内容需提前 3 个工作日提交邀标方审核，审核通过后方可上线；内容需严格把控导向，杜绝违规、错误信息发布，确保品牌形象不受损害；若出现内容违规问题，投标方需立即采取删除、整改、澄清等补救措施，并承担相应责任。</w:t>
      </w:r>
    </w:p>
    <w:p w14:paraId="66F56599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数据实时监测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：建立全平台运营数据实时监测体系，每日监测各平台核心数据（含粉丝量、曝光量、互动量、阅读量、完播率、转化率等）、达人合作数据、投流数据，形成每日数据日报，及时发现运营问题并调整策略。</w:t>
      </w:r>
    </w:p>
    <w:p w14:paraId="4B4675E2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定期复盘报告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3.1 月度复盘：每月结束后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2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个工作日内，向邀标方提交月度运营复盘报告，包含各平台运营数据、达人合作效果、投流效果、核心指标完成情况、亮点与问题、下月优化策略等；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3.2 季度复盘：每季度结束后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3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个工作日内，向邀标方提交季度运营复盘报告，包含季度运营整体总结、核心指标累计完成情况、各板块运营效果深度分析、下季度运营策略调整等；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3.3 年度复盘：项目服务周期结束后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7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个工作日内，向邀标方提交年度运营复盘报告，包含全年运营整体总结、核心指标最终完成情况、各平台 / 各板块运营效果全面分析、达人合作与投流费用投入产出比分析、品牌新媒体运营优化建议等。所有复盘报告数据需真实、完整、可追溯，附相关数据截图与证明材料。</w:t>
      </w:r>
    </w:p>
    <w:p w14:paraId="0CCFA146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3" w:name="heading_10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  <w:lang w:val="en-US" w:eastAsia="zh-CN"/>
        </w:rPr>
        <w:t>四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、全案整合需求</w:t>
      </w:r>
      <w:bookmarkEnd w:id="3"/>
    </w:p>
    <w:p w14:paraId="11337085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投标方需作为本项目总负责方，负责小红书、抖音、达人合作、投流运营全流程工作，与邀标方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新媒体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部等部门无缝对接，提前完成品牌全年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爆品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营销的运营方案策划与落地；配合品牌线下活动、新品发布、展会等线下场景，制定线上线下协同传播方案，实现 “线下场景 + 线上内容 + 达人背书 + 精准投流” 的全域协同传播效果；建立项目日常沟通机制，每周召开一次项目沟通会，向邀标方汇报项目进展与后续计划。</w:t>
      </w:r>
    </w:p>
    <w:p w14:paraId="57C7B6FA">
      <w:pPr>
        <w:spacing w:before="320" w:after="120" w:line="288" w:lineRule="auto"/>
        <w:ind w:left="0"/>
        <w:jc w:val="left"/>
        <w:outlineLvl w:val="1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4" w:name="heading_11"/>
      <w:r>
        <w:rPr>
          <w:rFonts w:hint="eastAsia" w:ascii="Microsoft YaHei Regular" w:hAnsi="Microsoft YaHei Regular" w:eastAsia="Microsoft YaHei Regular" w:cs="Microsoft YaHei Regular"/>
          <w:b/>
          <w:kern w:val="0"/>
          <w:sz w:val="32"/>
        </w:rPr>
        <w:t>第 3 章 招标须知</w:t>
      </w:r>
      <w:bookmarkEnd w:id="4"/>
    </w:p>
    <w:p w14:paraId="641D85BB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5" w:name="heading_12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3.1 投标人资格</w:t>
      </w:r>
      <w:bookmarkEnd w:id="5"/>
    </w:p>
    <w:p w14:paraId="6A9DEEEC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3.1.1 投标人须具有独立法人资格，持有有效的营业执照、相关文化传媒 / 新媒体运营 / 广告投放 /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抖音、小红书平台一二级代理商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资质证明（需提供复印件加盖公章），注册资本不低于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eastAsia="zh-CN"/>
        </w:rPr>
        <w:t>5</w:t>
      </w:r>
      <w:bookmarkStart w:id="35" w:name="_GoBack"/>
      <w:bookmarkEnd w:id="35"/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00 万元人民币；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3.1.2 投标人须具有新媒体全平台全年运营经验，且近 3 年具备新能源 / 交通工具行业千万级投流运营、达人整合合作案例（需提供合同复印件、项目成果报告、数据复盘报告、达人合作明细等证明材料）；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3.1.3 投标人须承认和履行本邀标文件中的所有条款与要求，通过邀标方资格审查并被定向邀请；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3.1.4 投标人无违法违规记录、无重大项目履约违约记录，未被列入失信被执行人名单（需提供相关声明）；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3.1.5 本项目不接受联合体投标，不允许分包、转包，投标人需独立完成全案新媒体运营与执行。</w:t>
      </w:r>
    </w:p>
    <w:p w14:paraId="089E2D66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6" w:name="heading_13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3.2 投标费用</w:t>
      </w:r>
      <w:bookmarkEnd w:id="6"/>
    </w:p>
    <w:p w14:paraId="5E8618E0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3.2.1 投标人应自行承担所有与编写和提交投标文件有关的费用，包括但不限于方案制作、资料打印、邮寄、差旅、答疑参与等，不论投标结果如何，邀标人在任何情况下均无义务和责任承担该等费用；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3.2.2 无论中标与否，投标人提交的所有投标资料（含方案、资质文件、案例、数据报告、达人资源库等）均不予退还，邀标方有权留存备案。</w:t>
      </w:r>
    </w:p>
    <w:p w14:paraId="03437E41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7" w:name="heading_14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3.3 邀标文件</w:t>
      </w:r>
      <w:bookmarkEnd w:id="7"/>
    </w:p>
    <w:p w14:paraId="5EC05E14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3.3.1 投标人应认真阅读本邀标文件中所有的事项、条款、规范及需求要求，若未按照邀标文件要求提交全部资料，或投标书未对邀标文件做出实质性响应，该投标将被拒绝，相关风险由投标人自行承担；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3.3.2 投标人对邀标文件内容有疑问的，需在答疑时间内以书面形式向邀标方提出，口头疑问不予受理。</w:t>
      </w:r>
    </w:p>
    <w:p w14:paraId="29DAE3AB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8" w:name="heading_15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3.4 邀标文件的修改</w:t>
      </w:r>
      <w:bookmarkEnd w:id="8"/>
    </w:p>
    <w:p w14:paraId="1D2E745E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3.4.1 在投标截止日期前的任何时候，邀标方可主动或在解答投标人问题时对邀标文件进行修改；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3.4.2 邀标文件的修改将以邮件 + 盖章书面通知的形式，发送至所有确认投标的投标人，修改内容自通知发出之日起生效，对所有投标人均具有法律约束力；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3.4.3 若邀标文件修改内容影响投标文件编制，邀标方可根据实际情况顺延投标截止时间，并书面通知所有投标人。</w:t>
      </w:r>
    </w:p>
    <w:p w14:paraId="1366AE48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9" w:name="heading_16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3.5 投标文件编制要求</w:t>
      </w:r>
      <w:bookmarkEnd w:id="9"/>
    </w:p>
    <w:p w14:paraId="55F5C99C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3.5.1 投标文件需按本邀标文件要求编制，纸质版一式伍份（正本壹份，副本肆份），电子版壹份（U 盘 / 光盘存储，含全套投标文件 PDF 版与可编辑版），纸质版与电子版内容需保持完全一致；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3.5.2 投标文件需采用 A4 纸张打印，胶装成册，编制目录并标注页码，便于查阅；正本需加盖投标人公章并由法定代表人 / 授权委托人签字，副本可加盖公章复印件；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3.5.3 投标文件需按商务文件 - 技术方案文件 - 报价文件 - 附件文件的固定顺序编制，不得随意调整；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3.5.4 投标文件需采用密封包装，密封袋需使用邀标方指定样式（或自封袋），并在密封袋上清晰标注：邀标文件编号、项目名称、投标人名称、“正本 / 副本 / 电子版”，同时在密封处加盖投标人公章；未密封、密封不合格或标注信息不清晰的投标文件，视为无效投标。</w:t>
      </w:r>
    </w:p>
    <w:p w14:paraId="6434F21B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10" w:name="heading_17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3.6 废标条款</w:t>
      </w:r>
      <w:bookmarkEnd w:id="10"/>
    </w:p>
    <w:p w14:paraId="3311310B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投标人存在下列情形之一的，其投标将被视为废标，邀标方有权直接拒绝，不参与后续评标：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① 未在投标截止时间前递交 / 邮寄投标文件，或投标文件逾期送达的；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② 投标文件未按本文件要求编制、密封、签字、盖章的；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③ 投标人不具备本文件规定的投标资格，或资质文件弄虚作假、缺失的；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④ 投标总报价高于项目总预算 1000 万元，或未按要求拆分各板块费用报价的；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⑤ 投标书未对邀标文件做出实质性响应，或明确拒绝履行本文件条款的；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⑥ 同一投标人提交两个及以上不同的投标方案或投标报价的；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⑦ 存在串通投标、弄虚作假、行贿等违法违规行为的；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⑧ 投标文件字迹模糊、无法辨认，或存在涂改、删减未加盖公章的；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⑨ 未按要求提供新能源 / 交通工具行业千万级投流、达人合作案例证明材料的。</w:t>
      </w:r>
    </w:p>
    <w:p w14:paraId="209F753C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11" w:name="heading_18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3.7 质疑与投诉</w:t>
      </w:r>
      <w:bookmarkEnd w:id="11"/>
    </w:p>
    <w:p w14:paraId="3CD5F169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3.7.1 投标人对邀标文件、评标结果有异议的，可在规定时间内以书面形式向邀标方提出质疑，质疑函需加盖投标人公章并详细说明理由，附相关证明材料；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3.7.2 邀标方在收到质疑函后 3 个工作日内，以书面形式予以回复；若投标人对回复不满意，可向邀标方上级主管部门提出投诉；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3.7.3 质疑与投诉均需以书面形式提出，口头质疑、投诉不予受理；投标人恶意质疑、投诉的，邀标方有权取消其投标 / 中标资格。</w:t>
      </w:r>
    </w:p>
    <w:p w14:paraId="27B47EF5">
      <w:pPr>
        <w:spacing w:before="320" w:after="120" w:line="288" w:lineRule="auto"/>
        <w:ind w:left="0"/>
        <w:jc w:val="left"/>
        <w:outlineLvl w:val="1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12" w:name="heading_19"/>
      <w:r>
        <w:rPr>
          <w:rFonts w:hint="eastAsia" w:ascii="Microsoft YaHei Regular" w:hAnsi="Microsoft YaHei Regular" w:eastAsia="Microsoft YaHei Regular" w:cs="Microsoft YaHei Regular"/>
          <w:b/>
          <w:kern w:val="0"/>
          <w:sz w:val="32"/>
        </w:rPr>
        <w:t>第 4 章 投标报价与标书内容</w:t>
      </w:r>
      <w:bookmarkEnd w:id="12"/>
    </w:p>
    <w:p w14:paraId="5B822CA5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13" w:name="heading_20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4.1 投标报价</w:t>
      </w:r>
      <w:bookmarkEnd w:id="13"/>
    </w:p>
    <w:p w14:paraId="2CDD4416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4.1.1 投标报价以人民币为唯一计价单位，报价为含税全包价（含增值税、策划费、内容制作费、达人合作费、投流费、技术服务费、人员费、素材设计费等所有相关费用）；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4.1.2 本次投标总报价不得高于 1000 万元人民币，超出项目总预算的投标视为无效投标；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4.1.3 投标人需在投标报价表中，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按以下板块明确拆分标注费用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，并列明各费用项下的明细列支依据（如各平台运营费包含的内容、达人合作费的层级与数量、投流费的平台分配、人员费用标准等）：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4.1.4 投标报价为固定总价，中标后不得因任何原因（如平台投流费率调整、达人合作报价上涨、人工成本增加、内容制作成本上升等）调整报价，邀标方无额外增补预算，所有后续整改、优化费用均由中标方承担；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4.1.5 达人合作费与投流费专款专用，中标方需按投标方案执行达人合作与投流运营，不得擅自截留、挪用；达人合作费与投流费明细需在每月复盘报告中详细列明，接受邀标方核查。</w:t>
      </w:r>
    </w:p>
    <w:p w14:paraId="6B069E16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14" w:name="heading_21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4.2 投标书核心内容</w:t>
      </w:r>
      <w:bookmarkEnd w:id="14"/>
    </w:p>
    <w:p w14:paraId="0C7202D5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  <w:lang w:eastAsia="zh-CN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投标人编写的投标书需包含以下四部分核心内容，缺一不可，缺失任何一部分将视为非实质性响应，予以拒绝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eastAsia="zh-CN"/>
        </w:rPr>
        <w:t>；</w:t>
      </w:r>
    </w:p>
    <w:p w14:paraId="0EE94C57">
      <w:pPr>
        <w:spacing w:before="260" w:after="120" w:line="288" w:lineRule="auto"/>
        <w:ind w:left="0"/>
        <w:jc w:val="left"/>
        <w:outlineLvl w:val="3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15" w:name="heading_22"/>
      <w:r>
        <w:rPr>
          <w:rFonts w:hint="eastAsia" w:ascii="Microsoft YaHei Regular" w:hAnsi="Microsoft YaHei Regular" w:eastAsia="Microsoft YaHei Regular" w:cs="Microsoft YaHei Regular"/>
          <w:b/>
          <w:kern w:val="0"/>
          <w:sz w:val="28"/>
        </w:rPr>
        <w:t>4.2.1 商务文件</w:t>
      </w:r>
      <w:bookmarkEnd w:id="15"/>
    </w:p>
    <w:p w14:paraId="098F455F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① 投标函（需按附件 2 模板填写，加盖公章、签字）；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② 投标人资格证明文件（营业执照、新媒体运营 / 文化传媒 / 广告投放 /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抖音、小红书平台一二级代理商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相关资质等，复印件加盖公章）；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③ 资格声明文件（关于资格的声明函、投标人资格声明、法定代表人授权书，按附件 3-5 模板填写，加盖公章、签字）；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④ 投标人近 3 年同类项目案例证明（含新媒体全平台运营、千万级投流、达人整合合作项目的合同复印件、项目成果报告、数据复盘报告、达人合作明细、投流数据截图等）；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⑤ 项目团队配置证明（团队核心成员简历、从业经验、相关专业资质、过往新能源 / 交通工具行业项目业绩等）；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⑥ 投标人无违法违规、无失信记录的书面声明（加盖公章）；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⑦ 达人资源库明细（含达人名称、平台、粉丝量、垂类、合作报价、过往新能源 / 交通工具行业合作案例等）。</w:t>
      </w:r>
    </w:p>
    <w:p w14:paraId="1DAADBF6">
      <w:pPr>
        <w:spacing w:before="260" w:after="120" w:line="288" w:lineRule="auto"/>
        <w:ind w:left="0"/>
        <w:jc w:val="left"/>
        <w:outlineLvl w:val="3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16" w:name="heading_23"/>
      <w:r>
        <w:rPr>
          <w:rFonts w:hint="eastAsia" w:ascii="Microsoft YaHei Regular" w:hAnsi="Microsoft YaHei Regular" w:eastAsia="Microsoft YaHei Regular" w:cs="Microsoft YaHei Regular"/>
          <w:b/>
          <w:kern w:val="0"/>
          <w:sz w:val="28"/>
        </w:rPr>
        <w:t>4.2.2 技术方案文件</w:t>
      </w:r>
      <w:bookmarkEnd w:id="16"/>
    </w:p>
    <w:p w14:paraId="0DA1F38D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① 项目整体运营年度方案（含核心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爆品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策略、全年营销节点规划、全案整合传播策略等）；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② 达人运营专项方案（含达人资源库介绍、全年达人合作年度规划、各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爆品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营销节点达人合作方案、核心产品达人种草方案、达人合作效果评估与管控体系等）；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③ 投流运营专项方案（含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爆品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投流费用平台分配、全年投流 KPI 设定、人群定向策略、投放时段规划、投流素材制作计划、数据监测与优化策略、投流 ROI 提升措施等）；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④ 项目 KPI 达成专项方案（含品牌曝光量、粉丝新增量、互动率、线索转化量、达人合作 ROI、投流 ROI 等全量量化 KPI 的具体达成措施、数据监测方式、考核体系等）；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⑤ 技术保障与应急预案方案（含运营技术工具配置、应急预案、故障处理流程与时间要求等）；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⑥ 项目沟通与对接方案（含日常沟通机制、跨部门对接流程、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爆品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营销节点协同落地计划等）。</w:t>
      </w:r>
    </w:p>
    <w:p w14:paraId="08EA162C">
      <w:pPr>
        <w:spacing w:before="260" w:after="120" w:line="288" w:lineRule="auto"/>
        <w:ind w:left="0"/>
        <w:jc w:val="left"/>
        <w:outlineLvl w:val="3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17" w:name="heading_24"/>
      <w:r>
        <w:rPr>
          <w:rFonts w:hint="eastAsia" w:ascii="Microsoft YaHei Regular" w:hAnsi="Microsoft YaHei Regular" w:eastAsia="Microsoft YaHei Regular" w:cs="Microsoft YaHei Regular"/>
          <w:b/>
          <w:kern w:val="0"/>
          <w:sz w:val="28"/>
        </w:rPr>
        <w:t>4.2.3 报价文件</w:t>
      </w:r>
      <w:bookmarkEnd w:id="17"/>
    </w:p>
    <w:p w14:paraId="3D6706E7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① 投标报价表（加盖公章、签字），含总报价、各板块费用明细、各明细项下的列支依据；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② 报价说明（含费用列支依据、含税说明、税率、未包含费用说明、费用调整原则等，加盖公章）。</w:t>
      </w:r>
    </w:p>
    <w:p w14:paraId="2CFFD6C0">
      <w:pPr>
        <w:spacing w:before="260" w:after="120" w:line="288" w:lineRule="auto"/>
        <w:ind w:left="0"/>
        <w:jc w:val="left"/>
        <w:outlineLvl w:val="3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18" w:name="heading_25"/>
      <w:r>
        <w:rPr>
          <w:rFonts w:hint="eastAsia" w:ascii="Microsoft YaHei Regular" w:hAnsi="Microsoft YaHei Regular" w:eastAsia="Microsoft YaHei Regular" w:cs="Microsoft YaHei Regular"/>
          <w:b/>
          <w:kern w:val="0"/>
          <w:sz w:val="28"/>
        </w:rPr>
        <w:t>4.2.4 附件文件</w:t>
      </w:r>
      <w:bookmarkEnd w:id="18"/>
    </w:p>
    <w:p w14:paraId="7B17ACD0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① 邀标确认函（按附件 1 模板填写，加盖公章、签字）；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② 本邀标文件要求的其他证明文件、补充材料（如团队成员资质证书、运营技术工具证明、达人合作意向函、过往项目数据截图等）。</w:t>
      </w:r>
    </w:p>
    <w:p w14:paraId="55DC57D1">
      <w:pPr>
        <w:spacing w:before="320" w:after="120" w:line="288" w:lineRule="auto"/>
        <w:ind w:left="0"/>
        <w:jc w:val="left"/>
        <w:outlineLvl w:val="1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19" w:name="heading_26"/>
      <w:r>
        <w:rPr>
          <w:rFonts w:hint="eastAsia" w:ascii="Microsoft YaHei Regular" w:hAnsi="Microsoft YaHei Regular" w:eastAsia="Microsoft YaHei Regular" w:cs="Microsoft YaHei Regular"/>
          <w:b/>
          <w:kern w:val="0"/>
          <w:sz w:val="32"/>
        </w:rPr>
        <w:t>第 5 章 评标标准及办法</w:t>
      </w:r>
      <w:bookmarkEnd w:id="19"/>
    </w:p>
    <w:p w14:paraId="291F438D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本项目采用综合评分法进行评标，评标总分为 100 分，由 \</w:t>
      </w:r>
      <w:r>
        <w:rPr>
          <w:rFonts w:hint="eastAsia" w:ascii="Microsoft YaHei Regular" w:hAnsi="Microsoft YaHei Regular" w:eastAsia="Microsoft YaHei Regular" w:cs="Microsoft YaHei Regular"/>
          <w:i/>
          <w:kern w:val="0"/>
          <w:sz w:val="22"/>
        </w:rPr>
        <w:t>\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商务分（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2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0 分）、技术分（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6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0 分）、报价分（20 分）\</w:t>
      </w:r>
      <w:r>
        <w:rPr>
          <w:rFonts w:hint="eastAsia" w:ascii="Microsoft YaHei Regular" w:hAnsi="Microsoft YaHei Regular" w:eastAsia="Microsoft YaHei Regular" w:cs="Microsoft YaHei Regular"/>
          <w:i/>
          <w:kern w:val="0"/>
          <w:sz w:val="22"/>
        </w:rPr>
        <w:t>\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三部分组成；评标委员会由邀标方品牌、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新媒体、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采购、营销公司等相关部门负责人组成，独立打分并计算平均分，按综合得分高低排序确定中标候选人。</w:t>
      </w:r>
    </w:p>
    <w:p w14:paraId="33F24528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0" w:name="heading_27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5.1 详细评分细则</w:t>
      </w:r>
      <w:bookmarkEnd w:id="20"/>
    </w:p>
    <w:tbl>
      <w:tblPr>
        <w:tblStyle w:val="9"/>
        <w:tblW w:w="10912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8"/>
        <w:gridCol w:w="1607"/>
        <w:gridCol w:w="7897"/>
      </w:tblGrid>
      <w:tr w14:paraId="3441DE3D">
        <w:tblPrEx>
          <w:tblLayout w:type="fixed"/>
        </w:tblPrEx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00415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评分维度</w:t>
            </w:r>
          </w:p>
        </w:tc>
        <w:tc>
          <w:tcPr>
            <w:tcW w:w="16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EF195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分值</w:t>
            </w:r>
          </w:p>
        </w:tc>
        <w:tc>
          <w:tcPr>
            <w:tcW w:w="78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0BB90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具体评分细则</w:t>
            </w:r>
          </w:p>
        </w:tc>
      </w:tr>
      <w:tr w14:paraId="26DB2069">
        <w:tblPrEx>
          <w:tblLayout w:type="fixed"/>
        </w:tblPrEx>
        <w:trPr>
          <w:trHeight w:val="1360" w:hRule="atLeast"/>
        </w:trPr>
        <w:tc>
          <w:tcPr>
            <w:tcW w:w="140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0F319">
            <w:pPr>
              <w:spacing w:before="120" w:after="120" w:line="288" w:lineRule="auto"/>
              <w:ind w:left="0"/>
              <w:jc w:val="both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商务分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br w:type="textWrapping"/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（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0 分）</w:t>
            </w:r>
          </w:p>
        </w:tc>
        <w:tc>
          <w:tcPr>
            <w:tcW w:w="16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11EBC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企业资质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br w:type="textWrapping"/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（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 分）</w:t>
            </w:r>
          </w:p>
        </w:tc>
        <w:tc>
          <w:tcPr>
            <w:tcW w:w="78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3FE64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具备完整的独立法人资质、新媒体运营 / 文化传媒 / 广告投放 / 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抖音、小红书平台一二级代理商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相关资质，注册资本≥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00 万，资质齐全、有效得 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 分；注册资本不足 500 万扣 3 分，缺 1 项核心资质扣 2 分，扣完为止。</w:t>
            </w:r>
          </w:p>
        </w:tc>
      </w:tr>
      <w:tr w14:paraId="71CBE7EB">
        <w:tblPrEx>
          <w:tblLayout w:type="fixed"/>
        </w:tblPrEx>
        <w:tc>
          <w:tcPr>
            <w:tcW w:w="140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E91ED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</w:p>
        </w:tc>
        <w:tc>
          <w:tcPr>
            <w:tcW w:w="16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E34B2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同类项目经验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br w:type="textWrapping"/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（1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 分）</w:t>
            </w:r>
          </w:p>
        </w:tc>
        <w:tc>
          <w:tcPr>
            <w:tcW w:w="78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72677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近 3 年有新能源 / 交通工具行业新媒体全平台运营 + 千万级投流 + 达人整合合作完整案例，提供全套证明材料得 10 分；每增加 1 个同行业优质全案案例加 3 分，最高 15 分；仅有单一平台 / 单一板块案例，每个得 2 分；无同行业案例得 3 分。</w:t>
            </w:r>
          </w:p>
        </w:tc>
      </w:tr>
      <w:tr w14:paraId="546827BE">
        <w:tblPrEx>
          <w:tblLayout w:type="fixed"/>
        </w:tblPrEx>
        <w:tc>
          <w:tcPr>
            <w:tcW w:w="140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D35F2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技术分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br w:type="textWrapping"/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（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0 分）</w:t>
            </w:r>
          </w:p>
        </w:tc>
        <w:tc>
          <w:tcPr>
            <w:tcW w:w="160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0E306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爆品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运营策略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br w:type="textWrapping"/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（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50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 分）</w:t>
            </w:r>
          </w:p>
        </w:tc>
        <w:tc>
          <w:tcPr>
            <w:tcW w:w="78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10577">
            <w:pPr>
              <w:spacing w:before="120" w:after="120" w:line="288" w:lineRule="auto"/>
              <w:ind w:left="0"/>
              <w:jc w:val="left"/>
              <w:rPr>
                <w:rFonts w:hint="default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爆品传播创意贴合品牌调性与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爆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品核心卖点，有强记忆点、差异化创新，形式多元、可落地性强，能有效驱动用户种草与转化得 30 分；创意基本符合定位，新意不足、形式常规、吸引力一般得 15 分；创意与品牌 / 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爆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品脱节、同质化严重、落地性差得 0 分。</w:t>
            </w:r>
          </w:p>
        </w:tc>
      </w:tr>
      <w:tr w14:paraId="5CFB2843">
        <w:tblPrEx>
          <w:tblLayout w:type="fixed"/>
        </w:tblPrEx>
        <w:tc>
          <w:tcPr>
            <w:tcW w:w="140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3D18F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</w:pPr>
          </w:p>
        </w:tc>
        <w:tc>
          <w:tcPr>
            <w:tcW w:w="160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F6D16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</w:pPr>
          </w:p>
        </w:tc>
        <w:tc>
          <w:tcPr>
            <w:tcW w:w="78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7C9FB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年度爆品整体策略贴合品牌定位与爆品属性，营销节点规划合理，全案整合传播逻辑清晰、资源分配精准、分阶段目标明确、可执行性强得 20 分；策略基本匹配需求，规划与可行性一般得 10 分；策略与需求不符、规划混乱、无落地性得 0 分。</w:t>
            </w:r>
          </w:p>
        </w:tc>
      </w:tr>
      <w:tr w14:paraId="5AE92117">
        <w:tblPrEx>
          <w:tblLayout w:type="fixed"/>
        </w:tblPrEx>
        <w:tc>
          <w:tcPr>
            <w:tcW w:w="140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6DF9D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</w:p>
        </w:tc>
        <w:tc>
          <w:tcPr>
            <w:tcW w:w="16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060E9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KPI 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与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投流运营方案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br w:type="textWrapping"/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（1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分）</w:t>
            </w:r>
          </w:p>
        </w:tc>
        <w:tc>
          <w:tcPr>
            <w:tcW w:w="78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C440A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投流方案精细化，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爆品推广平台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费用分配合理，人群定向与投放时段精准，数据优化策略可落地，投流 KPI 与 ROI 提升措施具体得 1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 分；投流方案基本合理，优化策略一般，KPI 设定模糊得 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 分；投流方案混乱，无明确策略与措施得 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 xml:space="preserve"> 分。</w:t>
            </w:r>
          </w:p>
        </w:tc>
      </w:tr>
      <w:tr w14:paraId="05DDB6FA">
        <w:tblPrEx>
          <w:tblLayout w:type="fixed"/>
        </w:tblPrEx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3A7AE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报价分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br w:type="textWrapping"/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（20 分）</w:t>
            </w:r>
          </w:p>
        </w:tc>
        <w:tc>
          <w:tcPr>
            <w:tcW w:w="16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67A9F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报价合理性</w:t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br w:type="textWrapping"/>
            </w: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（20 分）</w:t>
            </w:r>
          </w:p>
        </w:tc>
        <w:tc>
          <w:tcPr>
            <w:tcW w:w="78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41B91">
            <w:pPr>
              <w:spacing w:before="120" w:after="120" w:line="288" w:lineRule="auto"/>
              <w:ind w:left="0"/>
              <w:jc w:val="left"/>
              <w:rPr>
                <w:rFonts w:hint="eastAsia" w:ascii="Microsoft YaHei Regular" w:hAnsi="Microsoft YaHei Regular" w:eastAsia="Microsoft YaHei Regular" w:cs="Microsoft YaHei Regular"/>
                <w:kern w:val="0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kern w:val="0"/>
                <w:sz w:val="22"/>
              </w:rPr>
              <w:t>以所有有效投标报价的最低报价为基准分（20 分），其他投标人报价得分计算公式：报价得分 = 20-（投标人报价 - 最低报价）/ 最低报价 ×100，分值保留 2 位小数，最低得 0 分；未按要求拆分各板块费用的，本项得 0 分。</w:t>
            </w:r>
          </w:p>
        </w:tc>
      </w:tr>
    </w:tbl>
    <w:p w14:paraId="7E3FBD62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1" w:name="heading_28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5.2 评标规则</w:t>
      </w:r>
      <w:bookmarkEnd w:id="21"/>
    </w:p>
    <w:p w14:paraId="428FA1B8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① 评标委员会首先对所有投标文件进行符合性审查，未通过审查的投标文件，不参与后续综合评分；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② 评标委员会成员独立对通过符合性审查的投标文件打分，打分结果取平均分，作为投标人的最终综合得分；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③ 按综合得分从高到低排序，确定 1 名中标候选人、2 名备选中标候选人；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④ 若投标人综合得分相同，按技术分高低排序；若技术分仍相同，按投标报价从低到高排序；若投标报价仍相同，按同类项目经验得分高低排序；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⑤ 评标结果将在唱标结束后 3 个工作日内，以书面形式通知所有投标人；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⑥ 邀标方拥有本次评标工作的最终解释权。</w:t>
      </w:r>
    </w:p>
    <w:p w14:paraId="7D0CBF8F">
      <w:pPr>
        <w:spacing w:before="320" w:after="120" w:line="288" w:lineRule="auto"/>
        <w:ind w:left="0"/>
        <w:jc w:val="left"/>
        <w:outlineLvl w:val="1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2" w:name="heading_29"/>
      <w:r>
        <w:rPr>
          <w:rFonts w:hint="eastAsia" w:ascii="Microsoft YaHei Regular" w:hAnsi="Microsoft YaHei Regular" w:eastAsia="Microsoft YaHei Regular" w:cs="Microsoft YaHei Regular"/>
          <w:b/>
          <w:kern w:val="0"/>
          <w:sz w:val="32"/>
        </w:rPr>
        <w:t>第 6 章 项目考核与验收标准</w:t>
      </w:r>
      <w:bookmarkEnd w:id="22"/>
    </w:p>
    <w:p w14:paraId="63B1D9EC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本项目设置新媒体全平台运营量化 KPI 考核指标，投标方需在技术方案中明确具体的达成数值与措施；中标后，邀标方将对项目进行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月度过程考核、季度阶段性验收、年度整体验收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，未达成 KPI 的将按本文件第 7 章违约责任处理。</w:t>
      </w:r>
    </w:p>
    <w:p w14:paraId="5484118E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3" w:name="heading_31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6.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  <w:lang w:val="en-US" w:eastAsia="zh-CN"/>
        </w:rPr>
        <w:t>1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 xml:space="preserve"> 验收流程</w:t>
      </w:r>
      <w:bookmarkEnd w:id="23"/>
    </w:p>
    <w:p w14:paraId="37CE1C9E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月度过程考核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：每月结束后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3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个工作日内，邀标方根据投标方案承诺的 KPI 对项目进行考核，考核结果以书面形式通知中标方；对未达成的 KPI，中标方需在 3 个工作日内提交整改方案并执行，整改费用由中标方承担。</w:t>
      </w:r>
    </w:p>
    <w:p w14:paraId="656ABDC7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季度阶段性验收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：每季度结束后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3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个工作日内，中标方向邀标方提交季度验收申请及相关验收材料（含季度复盘报告、数据截图、达人合作明细、投流费用明细等）；邀标方按 KPI 进行验收，验收合格的出具季度验收合格证明，未合格的要求中标方限期整改，整改后仍未合格的，按违约责任处理。</w:t>
      </w:r>
    </w:p>
    <w:p w14:paraId="5D20EBE7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年度整体验收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：项目服务周期结束后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7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个工作日内，中标方向邀标方提交年度验收申请及全套验收材料（含年度复盘报告、运营数据、达人合作与投流费用明细、所有内容存档、项目总结报告等）；邀标方按投标方案承诺的年度全量 KPI 进行整体验收，所有指标达标即为验收合格；未达标项，中标方需按要求整改并承担相应违约责任。</w:t>
      </w:r>
    </w:p>
    <w:p w14:paraId="0B09F673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4" w:name="heading_32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6.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  <w:lang w:val="en-US" w:eastAsia="zh-CN"/>
        </w:rPr>
        <w:t>2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 xml:space="preserve"> 验收标准</w:t>
      </w:r>
      <w:bookmarkEnd w:id="24"/>
    </w:p>
    <w:p w14:paraId="469F7D75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邀标方按投标方案承诺的 KPI 指标、本文件需求及双方确认的整改方案进行验收，所有考核指标达标、服务保障符合要求、材料真实完整可追溯即为验收合格；验收不合格的，中标方需在邀标方规定时间内完成整改，整改费用由中标方承担，若整改后仍未合格，邀标方有权解除合同并追究违约责任。</w:t>
      </w:r>
    </w:p>
    <w:p w14:paraId="2F8BE8D7">
      <w:pPr>
        <w:spacing w:before="320" w:after="120" w:line="288" w:lineRule="auto"/>
        <w:ind w:left="0"/>
        <w:jc w:val="left"/>
        <w:outlineLvl w:val="1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5" w:name="heading_33"/>
      <w:r>
        <w:rPr>
          <w:rFonts w:hint="eastAsia" w:ascii="Microsoft YaHei Regular" w:hAnsi="Microsoft YaHei Regular" w:eastAsia="Microsoft YaHei Regular" w:cs="Microsoft YaHei Regular"/>
          <w:b/>
          <w:kern w:val="0"/>
          <w:sz w:val="32"/>
        </w:rPr>
        <w:t>第 7 章 合同主要条款与履约要求</w:t>
      </w:r>
      <w:bookmarkEnd w:id="25"/>
    </w:p>
    <w:p w14:paraId="75C4D1A2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6" w:name="heading_34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7.1 合同签订</w:t>
      </w:r>
      <w:bookmarkEnd w:id="26"/>
    </w:p>
    <w:p w14:paraId="20FB191F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7.1.1 评标结果确定后，邀标方将向中标方发出《中标通知书》，中标方需在收到《中标通知书》后 3 个工作日内，与邀标方签订正式的《项目服务合同》；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7.1.2 中标方未按约定时间签订合同，或签订合同后拒绝履行的，邀标方有权取消其中标资格，选择备选中标候选人，并追究中标方的违约责任；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7.1.3 本邀标文件、中标方的投标文件均为《项目服务合同》的组成部分，与合同具有同等法律效力。</w:t>
      </w:r>
    </w:p>
    <w:p w14:paraId="45B490B5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7" w:name="heading_35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7.2 项目履约要求</w:t>
      </w:r>
      <w:bookmarkEnd w:id="27"/>
    </w:p>
    <w:p w14:paraId="510697FF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7.2.1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工期要求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：中标方需按《项目服务合同》约定的时间节点，完成全年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爆品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运营方案策划、内容制作、达人合作、投流运营等所有工作，不得擅自延期；确需延期的，需提前 3 个工作日向邀标方提交书面延期申请，经邀标方书面同意后方可延期，否则视为违约。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7.2.2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整改要求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：邀标方有权对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爆品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运营方案、内容素材、达人合作、投流策略等提出修改、整改意见，中标方需在邀标方规定的时间内完成整改，整改费用由中标方承担，且不得因此调整投标报价。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7.2.3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质保期要求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：项目整体质保期为项目服务周期结束后 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90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 天；质保期内，若出现数据造假、投流费用 / 达人合作费挪用、内容侵权、品牌负面舆情等问题，中标方需在 4 小时内响应，并承担全部责任及赔偿损失。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7.2.4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数据反馈要求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：中标方需按本文件约定的时间，向邀标方提交每日数据日报、月度 / 季度 / 年度复盘报告及各类验收材料，确保数据真实、完整、可追溯；邀标方有权对数据进行核查，若发现数据弄虚作假，视为中标方严重违约。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7.2.5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人员与资源要求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：中标方需按投标文件中承诺的团队配置、达人资源库、技术工具标准执行项目，不得擅自更换团队核心成员、降低达人合作标准、减少技术工具配置；确需更换 / 调整的，需提前 3 个工作日向邀标方书面申请，经同意后方可执行，且更换 / 调整后的标准不低于原承诺。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7.2.6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方案调整要求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：若邀标方因品牌战略调整、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  <w:lang w:val="en-US" w:eastAsia="zh-CN"/>
        </w:rPr>
        <w:t>爆品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营销节点变化等需要调整运营方案，中标方需积极配合并制定新的方案，相关调整工作不得额外收取费用，且需保证项目运营效果不受影响。</w:t>
      </w:r>
    </w:p>
    <w:p w14:paraId="44D48508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8" w:name="heading_36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7.3 付款方式</w:t>
      </w:r>
      <w:bookmarkEnd w:id="28"/>
    </w:p>
    <w:p w14:paraId="73D13853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本项目付款采用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季度付款 + 年度尾款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的方式，均为银行转账，中标方需在每次付款前，向邀标方提供合法、有效的增值税专用发票，否则邀标方有权顺延付款，不承担违约责任；具体付款比例与节点在《项目服务合同》中另行约定。</w:t>
      </w:r>
    </w:p>
    <w:p w14:paraId="05F0828E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29" w:name="heading_37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7.4 违约责任</w:t>
      </w:r>
      <w:bookmarkEnd w:id="29"/>
    </w:p>
    <w:p w14:paraId="5E0573EA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7.4.1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擅自延期违约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：中标方未按约定时间完成项目工作，且未取得邀标方延期同意的，每延期 1 天，按合同总金额的 0.5% 向邀标方支付违约金，违约金累计不超过合同总金额的 20%；延期超过 7 天的，邀标方有权解除合同，收回已付款项，并要求中标方赔偿实际损失。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7.4.2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数据弄虚作假 / 费用挪用违约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：中标方存在运营数据、投流数据、达人合作数据造假，或投流费用、达人合作费截留 / 挪用等行为的，邀标方有权立即解除合同，收回所有已付款项，并要求中标方按合同总金额的 30% 支付违约金，赔偿邀标方因此造成的所有损失（含品牌损失、维权费用等）。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7.4.3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内容负面舆情违约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：因中标方操作不当导致发布内容出现违规、错误信息，或引发品牌负面舆情的，中标方需立即采取删除、整改、澄清等补救措施，并按合同总金额的 20% 支付违约金；若造成品牌重大损失的，邀标方有权解除合同并要求全额赔偿。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7.4.4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人员 / 资源违约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：中标方擅自更换团队核心成员、降低达人合作标准、减少技术工具配置的，每次按合同总金额的 5% 支付违约金；若影响项目运营效果的，需承担全部赔偿责任。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7.4.5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KPI 未达成违约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：月度 KPI 连续 2 次未达成，或季度阶段性验收不合格，或年度整体验收不合格的，中标方需按未达成 KPI 对应的考核金额支付违约金（具体比例在《项目服务合同》中约定）；若年度核心 KPI 完成率低于 80%，邀标方有权解除合同并要求赔偿损失。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 xml:space="preserve">7.4.6 </w:t>
      </w:r>
      <w:r>
        <w:rPr>
          <w:rFonts w:hint="eastAsia" w:ascii="Microsoft YaHei Regular" w:hAnsi="Microsoft YaHei Regular" w:eastAsia="Microsoft YaHei Regular" w:cs="Microsoft YaHei Regular"/>
          <w:b/>
          <w:kern w:val="0"/>
          <w:sz w:val="22"/>
        </w:rPr>
        <w:t>其他违约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：本文件未约定的违约责任，按《中华人民共和国民法典》相关规定执行。</w:t>
      </w:r>
    </w:p>
    <w:p w14:paraId="0E0A7FE6">
      <w:pPr>
        <w:spacing w:before="320" w:after="120" w:line="288" w:lineRule="auto"/>
        <w:ind w:left="0"/>
        <w:jc w:val="left"/>
        <w:outlineLvl w:val="1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30" w:name="heading_38"/>
      <w:r>
        <w:rPr>
          <w:rFonts w:hint="eastAsia" w:ascii="Microsoft YaHei Regular" w:hAnsi="Microsoft YaHei Regular" w:eastAsia="Microsoft YaHei Regular" w:cs="Microsoft YaHei Regular"/>
          <w:b/>
          <w:kern w:val="0"/>
          <w:sz w:val="32"/>
        </w:rPr>
        <w:t>第 8 章 投标有效期与其他约定</w:t>
      </w:r>
      <w:bookmarkEnd w:id="30"/>
    </w:p>
    <w:p w14:paraId="04B822BF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31" w:name="heading_39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8.1 投标有效期</w:t>
      </w:r>
      <w:bookmarkEnd w:id="31"/>
    </w:p>
    <w:p w14:paraId="49FE20C7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投标书自投标截止之日起六十个工作日内有效；投标有效期比本规定短的，视为非响应性投标，予以拒绝；在投标有效期内，投标人不得擅自撤销、修改投标文件，否则邀标方有权没收其投标相关资料，取消投标资格。</w:t>
      </w:r>
    </w:p>
    <w:p w14:paraId="63377F7A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32" w:name="heading_40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8.2 知识产权</w:t>
      </w:r>
      <w:bookmarkEnd w:id="32"/>
    </w:p>
    <w:p w14:paraId="60B95252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8.2.1 中标方在项目执行过程中提交的运营方案、内容素材、设计作品、数据报告等所有成果的知识产权，在邀标方支付全部合同款项后，归邀标方独家所有；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8.2.2 中标方不得擅自使用、复制、传播该等知识产权成果，否则邀标方有权追究中标方的法律责任，要求赔偿损失；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8.2.3 若中标方提交的成果存在知识产权侵权问题，由中标方承担全部法律责任，并赔偿邀标方因此造成的所有损失（含维权费用、品牌损失等）。</w:t>
      </w:r>
    </w:p>
    <w:p w14:paraId="3B368D30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33" w:name="heading_41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8.3 保密条款</w:t>
      </w:r>
      <w:bookmarkEnd w:id="33"/>
    </w:p>
    <w:p w14:paraId="2979D2F5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kern w:val="0"/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8.3.1 投标人在投标过程中，获取的邀标方商业秘密（含产品信息、品牌规划、营销节点、运营策略、投流方案、达人合作计划等），负有严格的保密义务；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8.3.2 未经邀标方书面同意，投标人不得向任何第三方泄露上述商业秘密，保密义务在投标结束后持续有效，保密期限为 3 年；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8.3.3 若投标人泄露邀标方商业秘密，需赔偿邀标方因此造成的所有损失，邀标方有权取消其投标 / 中标资格。</w:t>
      </w:r>
    </w:p>
    <w:p w14:paraId="2DDEEA6E">
      <w:pPr>
        <w:spacing w:before="300" w:after="120" w:line="288" w:lineRule="auto"/>
        <w:ind w:left="0"/>
        <w:jc w:val="left"/>
        <w:outlineLvl w:val="2"/>
        <w:rPr>
          <w:rFonts w:hint="eastAsia" w:ascii="Microsoft YaHei Regular" w:hAnsi="Microsoft YaHei Regular" w:eastAsia="Microsoft YaHei Regular" w:cs="Microsoft YaHei Regular"/>
          <w:kern w:val="0"/>
        </w:rPr>
      </w:pPr>
      <w:bookmarkStart w:id="34" w:name="heading_42"/>
      <w:r>
        <w:rPr>
          <w:rFonts w:hint="eastAsia" w:ascii="Microsoft YaHei Regular" w:hAnsi="Microsoft YaHei Regular" w:eastAsia="Microsoft YaHei Regular" w:cs="Microsoft YaHei Regular"/>
          <w:b/>
          <w:kern w:val="0"/>
          <w:sz w:val="30"/>
        </w:rPr>
        <w:t>8.4 其他约定</w:t>
      </w:r>
      <w:bookmarkEnd w:id="34"/>
    </w:p>
    <w:p w14:paraId="31CE0013">
      <w:pPr>
        <w:spacing w:before="120" w:after="120" w:line="288" w:lineRule="auto"/>
        <w:ind w:left="0"/>
        <w:jc w:val="left"/>
        <w:rPr>
          <w:rFonts w:hint="eastAsia" w:ascii="Microsoft YaHei Regular" w:hAnsi="Microsoft YaHei Regular" w:eastAsia="Microsoft YaHei Regular" w:cs="Microsoft YaHei Regular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8.4.1 本邀标文件的最终解释权归立马车业集团有限公司所有；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8.4.2 本邀标文件与正式《项目服务合同》内容不一致的，以正式合同为准；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8.4.3 本项目执行过程中发生的争议，双方应首先友好协商解决；协商不成的，任何一方均有权向邀标方所在地人民法院提起诉讼；</w:t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kern w:val="0"/>
          <w:sz w:val="22"/>
        </w:rPr>
        <w:t>8.4.4 本邀标文件未尽事宜，由双方协商后签订补充协议，补充协议与本文件具有同等法律效力。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Regular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Segoe Print"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PingFang SC 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64BC04"/>
    <w:multiLevelType w:val="singleLevel"/>
    <w:tmpl w:val="B664BC0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F6FFBAF2"/>
    <w:multiLevelType w:val="singleLevel"/>
    <w:tmpl w:val="F6FFBAF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F7D7ADD7"/>
    <w:multiLevelType w:val="singleLevel"/>
    <w:tmpl w:val="F7D7ADD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F7F23681"/>
    <w:multiLevelType w:val="singleLevel"/>
    <w:tmpl w:val="F7F2368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FDFB8F32"/>
    <w:multiLevelType w:val="singleLevel"/>
    <w:tmpl w:val="FDFB8F3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FE4EE627"/>
    <w:multiLevelType w:val="singleLevel"/>
    <w:tmpl w:val="FE4EE62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 Bold" w:hAnsi="Times New Roman Bold" w:cs="Times New Roman Bold"/>
        <w:b/>
        <w:bCs/>
      </w:rPr>
    </w:lvl>
  </w:abstractNum>
  <w:abstractNum w:abstractNumId="6">
    <w:nsid w:val="FFDF2930"/>
    <w:multiLevelType w:val="singleLevel"/>
    <w:tmpl w:val="FFDF293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FFFF7803"/>
    <w:multiLevelType w:val="singleLevel"/>
    <w:tmpl w:val="FFFF780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03AE5CBF"/>
    <w:multiLevelType w:val="singleLevel"/>
    <w:tmpl w:val="03AE5CB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1AFC661B"/>
    <w:multiLevelType w:val="multilevel"/>
    <w:tmpl w:val="1AFC661B"/>
    <w:lvl w:ilvl="0" w:tentative="0">
      <w:start w:val="1"/>
      <w:numFmt w:val="japaneseCounting"/>
      <w:lvlText w:val="第%1章"/>
      <w:lvlJc w:val="left"/>
      <w:pPr>
        <w:ind w:left="94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abstractNum w:abstractNumId="10">
    <w:nsid w:val="3EF5BBDD"/>
    <w:multiLevelType w:val="singleLevel"/>
    <w:tmpl w:val="3EF5BBD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6BFE1BBE"/>
    <w:multiLevelType w:val="singleLevel"/>
    <w:tmpl w:val="6BFE1BB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77B9646A"/>
    <w:multiLevelType w:val="singleLevel"/>
    <w:tmpl w:val="77B9646A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10">
    <w:name w:val="Unresolved Mention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8972</Words>
  <Characters>9498</Characters>
  <Lines>15</Lines>
  <Paragraphs>4</Paragraphs>
  <ScaleCrop>false</ScaleCrop>
  <LinksUpToDate>false</LinksUpToDate>
  <CharactersWithSpaces>9979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2023-01-04T17:54:00Z</dcterms:created>
  <dc:creator>Administrator</dc:creator>
  <cp:lastModifiedBy>iPhone</cp:lastModifiedBy>
  <cp:lastPrinted>2023-01-14T21:14:00Z</cp:lastPrinted>
  <dcterms:modified xsi:type="dcterms:W3CDTF">2026-04-23T17:27:55Z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8379E629544E490A8C69C6504A32C207_13</vt:lpwstr>
  </property>
  <property fmtid="{D5CDD505-2E9C-101B-9397-08002B2CF9AE}" pid="4" name="KSOTemplateDocerSaveRecord">
    <vt:lpwstr>eyJoZGlkIjoiOTk3ZmZjMDE2NmZhOGE1N2QxYTBiOGQyNWMzNzRmM2EiLCJ1c2VySWQiOiIxMTU2NDYxMzk2In0=</vt:lpwstr>
  </property>
</Properties>
</file>